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00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</w:p>
    <w:p w:rsidR="00BB0600" w:rsidRPr="00405300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FF733F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137F67AA" wp14:editId="19B8986C">
            <wp:simplePos x="0" y="0"/>
            <wp:positionH relativeFrom="column">
              <wp:posOffset>2480310</wp:posOffset>
            </wp:positionH>
            <wp:positionV relativeFrom="paragraph">
              <wp:posOffset>-975360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00">
        <w:rPr>
          <w:rFonts w:ascii="Times New Roman" w:hAnsi="Times New Roman" w:cs="Times New Roman"/>
          <w:b/>
          <w:bCs/>
          <w:sz w:val="52"/>
        </w:rPr>
        <w:t xml:space="preserve">ДУМА </w:t>
      </w:r>
    </w:p>
    <w:p w:rsidR="00BB0600" w:rsidRPr="00405300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405300">
        <w:rPr>
          <w:rFonts w:ascii="Times New Roman" w:hAnsi="Times New Roman" w:cs="Times New Roman"/>
          <w:b/>
          <w:bCs/>
          <w:sz w:val="44"/>
        </w:rPr>
        <w:t xml:space="preserve">ЧУГУЕВСКОГО </w:t>
      </w:r>
    </w:p>
    <w:p w:rsidR="00BB0600" w:rsidRPr="00405300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05300">
        <w:rPr>
          <w:rFonts w:ascii="Times New Roman" w:hAnsi="Times New Roman" w:cs="Times New Roman"/>
          <w:b/>
          <w:bCs/>
          <w:sz w:val="28"/>
        </w:rPr>
        <w:t xml:space="preserve">МУНИЦИПАЛЬНОГО ОКРУГА </w:t>
      </w:r>
    </w:p>
    <w:p w:rsidR="00BB0600" w:rsidRPr="00503C05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78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BB0600" w:rsidRPr="00405300" w:rsidTr="001D75CD">
        <w:trPr>
          <w:trHeight w:val="903"/>
        </w:trPr>
        <w:tc>
          <w:tcPr>
            <w:tcW w:w="9180" w:type="dxa"/>
          </w:tcPr>
          <w:p w:rsidR="00BB0600" w:rsidRPr="00405300" w:rsidRDefault="00BB0600" w:rsidP="006059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Порядке </w:t>
            </w:r>
            <w:r>
              <w:t xml:space="preserve"> </w:t>
            </w:r>
            <w:r w:rsidRPr="00BB0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определения размера арендной платы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B0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земельные участки, находящиеся в муниципальной собственности Чугуевского муниципального округа и предоставленные в аренду без торгов</w:t>
            </w:r>
          </w:p>
        </w:tc>
      </w:tr>
    </w:tbl>
    <w:p w:rsidR="00BB0600" w:rsidRPr="00405300" w:rsidRDefault="00BB0600" w:rsidP="00BB06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proofErr w:type="gramStart"/>
      <w:r w:rsidRPr="00405300">
        <w:rPr>
          <w:rFonts w:ascii="Times New Roman" w:hAnsi="Times New Roman" w:cs="Times New Roman"/>
          <w:b/>
          <w:bCs/>
          <w:sz w:val="48"/>
        </w:rPr>
        <w:t>Р</w:t>
      </w:r>
      <w:proofErr w:type="gramEnd"/>
      <w:r w:rsidRPr="00405300">
        <w:rPr>
          <w:rFonts w:ascii="Times New Roman" w:hAnsi="Times New Roman" w:cs="Times New Roman"/>
          <w:b/>
          <w:bCs/>
          <w:sz w:val="48"/>
        </w:rPr>
        <w:t xml:space="preserve">  Е  Ш  Е  Н  И  Е</w:t>
      </w:r>
    </w:p>
    <w:p w:rsidR="00BB0600" w:rsidRDefault="00BB0600" w:rsidP="00BB06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600" w:rsidRPr="00405300" w:rsidRDefault="00BB0600" w:rsidP="000A76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BB0600" w:rsidRPr="00405300" w:rsidRDefault="00BB0600" w:rsidP="000A76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0530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405300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401191" w:rsidRDefault="00401191" w:rsidP="00BB06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600" w:rsidRPr="00405300" w:rsidRDefault="00BB0600" w:rsidP="00BB06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D5EB6" w:rsidRDefault="00BB0600" w:rsidP="00025C2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5300">
        <w:rPr>
          <w:rFonts w:ascii="Times New Roman" w:hAnsi="Times New Roman" w:cs="Times New Roman"/>
          <w:sz w:val="26"/>
          <w:szCs w:val="26"/>
        </w:rPr>
        <w:t>Утвердить</w:t>
      </w:r>
      <w:r w:rsidR="008427A9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Pr="004053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5CE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8427A9" w:rsidRPr="00005CE3">
        <w:rPr>
          <w:b/>
        </w:rPr>
        <w:t xml:space="preserve"> </w:t>
      </w:r>
      <w:r w:rsidR="008427A9" w:rsidRPr="00005CE3">
        <w:rPr>
          <w:rFonts w:ascii="Times New Roman" w:hAnsi="Times New Roman" w:cs="Times New Roman"/>
          <w:b/>
          <w:bCs/>
          <w:sz w:val="26"/>
          <w:szCs w:val="26"/>
        </w:rPr>
        <w:t>определения размера арендной платы  за земельные участки, находящиеся в муниципальной собственности Чугуевского муниципального округа и предоставленные в аренду без торгов</w:t>
      </w:r>
      <w:r w:rsidR="008427A9">
        <w:rPr>
          <w:rFonts w:ascii="Times New Roman" w:hAnsi="Times New Roman" w:cs="Times New Roman"/>
          <w:bCs/>
          <w:sz w:val="26"/>
          <w:szCs w:val="26"/>
        </w:rPr>
        <w:t>.</w:t>
      </w:r>
    </w:p>
    <w:p w:rsidR="008427A9" w:rsidRPr="00405300" w:rsidRDefault="008427A9" w:rsidP="0002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5300">
        <w:rPr>
          <w:rFonts w:ascii="Times New Roman" w:hAnsi="Times New Roman" w:cs="Times New Roman"/>
          <w:b/>
          <w:sz w:val="26"/>
          <w:szCs w:val="26"/>
        </w:rPr>
        <w:t>.</w:t>
      </w:r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7A9" w:rsidRDefault="008427A9" w:rsidP="0084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8427A9" w:rsidRPr="00405300" w:rsidRDefault="008427A9" w:rsidP="0084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7A9" w:rsidRPr="00405300" w:rsidRDefault="008427A9" w:rsidP="0084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8427A9" w:rsidRPr="00405300" w:rsidRDefault="008427A9" w:rsidP="0084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Р.Ю.Деменев</w:t>
      </w:r>
    </w:p>
    <w:p w:rsidR="008427A9" w:rsidRPr="005A7078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427A9" w:rsidRPr="006059A4" w:rsidRDefault="006059A4" w:rsidP="006059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9A4">
        <w:rPr>
          <w:rFonts w:ascii="Times New Roman" w:hAnsi="Times New Roman" w:cs="Times New Roman"/>
          <w:b/>
          <w:sz w:val="26"/>
          <w:szCs w:val="26"/>
          <w:u w:val="single"/>
        </w:rPr>
        <w:t>«30» апреля 2021г.</w:t>
      </w:r>
    </w:p>
    <w:p w:rsidR="006059A4" w:rsidRPr="006059A4" w:rsidRDefault="006059A4" w:rsidP="006059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9A4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195 – НПА </w:t>
      </w:r>
    </w:p>
    <w:p w:rsidR="008427A9" w:rsidRPr="006059A4" w:rsidRDefault="008427A9" w:rsidP="006059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427A9" w:rsidRPr="00405300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427A9" w:rsidRPr="00405300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решением Думы Чугуевского </w:t>
      </w:r>
    </w:p>
    <w:p w:rsidR="008427A9" w:rsidRPr="00405300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8427A9" w:rsidRDefault="008427A9" w:rsidP="008427A9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от «</w:t>
      </w:r>
      <w:r w:rsidR="006059A4">
        <w:rPr>
          <w:rFonts w:ascii="Times New Roman" w:hAnsi="Times New Roman" w:cs="Times New Roman"/>
          <w:sz w:val="26"/>
          <w:szCs w:val="26"/>
        </w:rPr>
        <w:t>30</w:t>
      </w:r>
      <w:r w:rsidRPr="00405300">
        <w:rPr>
          <w:rFonts w:ascii="Times New Roman" w:hAnsi="Times New Roman" w:cs="Times New Roman"/>
          <w:sz w:val="26"/>
          <w:szCs w:val="26"/>
        </w:rPr>
        <w:t>»</w:t>
      </w:r>
      <w:r w:rsidR="006059A4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405300">
        <w:rPr>
          <w:rFonts w:ascii="Times New Roman" w:hAnsi="Times New Roman" w:cs="Times New Roman"/>
          <w:sz w:val="26"/>
          <w:szCs w:val="26"/>
        </w:rPr>
        <w:t xml:space="preserve"> 2021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059A4">
        <w:rPr>
          <w:rFonts w:ascii="Times New Roman" w:hAnsi="Times New Roman" w:cs="Times New Roman"/>
          <w:sz w:val="26"/>
          <w:szCs w:val="26"/>
        </w:rPr>
        <w:t xml:space="preserve"> 195</w:t>
      </w:r>
      <w:r w:rsidRPr="00405300">
        <w:rPr>
          <w:rFonts w:ascii="Times New Roman" w:hAnsi="Times New Roman" w:cs="Times New Roman"/>
          <w:sz w:val="26"/>
          <w:szCs w:val="26"/>
        </w:rPr>
        <w:t>-НПА</w:t>
      </w:r>
    </w:p>
    <w:p w:rsidR="005B2FFC" w:rsidRPr="005B2FFC" w:rsidRDefault="005B2FFC" w:rsidP="005B2F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2FFC" w:rsidRDefault="005B2FFC" w:rsidP="005B2F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FC" w:rsidRPr="005B2FFC" w:rsidRDefault="005B2FFC" w:rsidP="00C32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FFC">
        <w:rPr>
          <w:rFonts w:ascii="Times New Roman" w:hAnsi="Times New Roman" w:cs="Times New Roman"/>
          <w:b/>
          <w:sz w:val="26"/>
          <w:szCs w:val="26"/>
        </w:rPr>
        <w:t>Порядок определения размера арендной платы за земельные участки,</w:t>
      </w:r>
    </w:p>
    <w:p w:rsidR="005B2FFC" w:rsidRPr="005B2FFC" w:rsidRDefault="005B2FFC" w:rsidP="00C32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FFC">
        <w:rPr>
          <w:rFonts w:ascii="Times New Roman" w:hAnsi="Times New Roman" w:cs="Times New Roman"/>
          <w:b/>
          <w:sz w:val="26"/>
          <w:szCs w:val="26"/>
        </w:rPr>
        <w:t xml:space="preserve">находящиеся в муниципальной собственности Чугуевского </w:t>
      </w:r>
      <w:proofErr w:type="gramStart"/>
      <w:r w:rsidRPr="005B2FF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5B2FFC" w:rsidRPr="005B2FFC" w:rsidRDefault="005B2FFC" w:rsidP="00C32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FFC">
        <w:rPr>
          <w:rFonts w:ascii="Times New Roman" w:hAnsi="Times New Roman" w:cs="Times New Roman"/>
          <w:b/>
          <w:sz w:val="26"/>
          <w:szCs w:val="26"/>
        </w:rPr>
        <w:t>округа и предоставленные в аренду без торгов</w:t>
      </w:r>
    </w:p>
    <w:p w:rsidR="005B2FFC" w:rsidRPr="00405300" w:rsidRDefault="005B2FFC" w:rsidP="005B2FFC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1. Предметом регулирования настоящего Порядка является определение размера арендной платы за земельные участки, находящиеся в муниципальной собственности Чугуевского муниципального</w:t>
      </w:r>
      <w:r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округа и предоставленные в аренду без торгов (далее - земельные участки).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C32CEC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5"/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3. 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Понижающие коэффициенты для отдельных категорий лиц, коэффициенты развития, а также коэффициенты увеличения, указанные в формулах расчета размера арендной платы за земельные участки, приведенных в пунктах 4 и 6 настоящего Порядка,  принимаются органом местного самоуправления </w:t>
      </w:r>
      <w:r>
        <w:rPr>
          <w:rStyle w:val="pt-a0-000005"/>
          <w:rFonts w:ascii="Liberation Serif" w:hAnsi="Liberation Serif"/>
          <w:color w:val="000000"/>
          <w:sz w:val="26"/>
          <w:szCs w:val="26"/>
        </w:rPr>
        <w:t>«Администрацией Чугуевского муниципального округа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»</w:t>
      </w:r>
      <w:r>
        <w:rPr>
          <w:rStyle w:val="pt-a0-000005"/>
          <w:rFonts w:ascii="Liberation Serif" w:hAnsi="Liberation Serif"/>
          <w:color w:val="000000"/>
          <w:sz w:val="26"/>
          <w:szCs w:val="26"/>
        </w:rPr>
        <w:t>.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4. Годовой размер арендной платы за земельные участки определяется по формуле: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АП - годовой размер арендной платы (рублей);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АБ - арендная база (рублей), значение которой определяется по формуле: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</w:p>
    <w:p w:rsidR="00C32CEC" w:rsidRPr="00B07ABE" w:rsidRDefault="00C32CEC" w:rsidP="00C32CEC">
      <w:pPr>
        <w:pStyle w:val="pt-a-000018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АБ = КС x Ку, где: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КС - кадастровая стоимость земельного участка, определенная в соответствии с Федеральным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7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  <w:u w:val="single"/>
          </w:rPr>
          <w:t>законом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от 3 июля 2016 года № 237-ФЗ «О государственной кадастровой оценке» (рублей);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Ку - коэффициент увеличения, значение которого определяется по формуле: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</w:p>
    <w:p w:rsidR="00C32CEC" w:rsidRPr="00B07ABE" w:rsidRDefault="00C32CEC" w:rsidP="00C32CEC">
      <w:pPr>
        <w:pStyle w:val="pt-a-000018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Ку = Ку</w:t>
      </w:r>
      <w:proofErr w:type="gram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1</w:t>
      </w:r>
      <w:proofErr w:type="gram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x Ку2 x ... x </w:t>
      </w:r>
      <w:proofErr w:type="spell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Куn</w:t>
      </w:r>
      <w:proofErr w:type="spell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, где: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Ку</w:t>
      </w:r>
      <w:proofErr w:type="gram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1</w:t>
      </w:r>
      <w:proofErr w:type="gram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, Ку2, ..., </w:t>
      </w:r>
      <w:proofErr w:type="spell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Куn</w:t>
      </w:r>
      <w:proofErr w:type="spell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proofErr w:type="spell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СтАП</w:t>
      </w:r>
      <w:proofErr w:type="spell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- ставка арендной платы за земельные участки, установленная в соответствии с Приложением к настоящему Порядку, исходя их вида разрешенного использования земельного участка, предоставленного в аренду;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ПК - понижающий коэффициент для отдельных категорий лиц;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КР</w:t>
      </w:r>
      <w:proofErr w:type="gram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- коэффициент развития, применяемый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в целях поддержки социально значимых видов деятельности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. 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t> </w:t>
      </w:r>
    </w:p>
    <w:p w:rsidR="00C32CEC" w:rsidRPr="00B07ABE" w:rsidRDefault="00C32CEC" w:rsidP="00C32CEC">
      <w:pPr>
        <w:pStyle w:val="pt-a-000020"/>
        <w:shd w:val="clear" w:color="auto" w:fill="FFFFFF"/>
        <w:spacing w:before="0" w:beforeAutospacing="0" w:after="0" w:afterAutospacing="0" w:line="302" w:lineRule="atLeast"/>
        <w:ind w:firstLine="706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000010"/>
          <w:rFonts w:ascii="Liberation Serif" w:hAnsi="Liberation Serif"/>
          <w:color w:val="000000"/>
          <w:sz w:val="26"/>
          <w:szCs w:val="26"/>
        </w:rPr>
        <w:lastRenderedPageBreak/>
        <w:t> </w:t>
      </w:r>
      <w:r>
        <w:rPr>
          <w:rStyle w:val="pt-000010"/>
          <w:rFonts w:ascii="Liberation Serif" w:hAnsi="Liberation Serif"/>
          <w:color w:val="000000"/>
          <w:sz w:val="26"/>
          <w:szCs w:val="26"/>
        </w:rPr>
        <w:t xml:space="preserve">                                       </w:t>
      </w:r>
      <w:r w:rsidRPr="00C27E88">
        <w:rPr>
          <w:rStyle w:val="pt-000010"/>
          <w:rFonts w:ascii="Liberation Serif" w:hAnsi="Liberation Serif"/>
          <w:color w:val="000000"/>
          <w:sz w:val="26"/>
          <w:szCs w:val="26"/>
        </w:rPr>
        <w:t>РАП = (АП x КД) / КГ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РАП - размер арендной платы (рублей);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АП - годовой размер арендной платы (рублей), определенный в соответствии с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8" w:anchor="P62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пунктом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 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4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настоящего Порядка;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КД - количество дней в соответствии с договором аренды земельного участка;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КГ</w:t>
      </w:r>
      <w:proofErr w:type="gramEnd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- количество дней в году.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Style w:val="pt-a0-000005"/>
          <w:rFonts w:ascii="Liberation Serif" w:hAnsi="Liberation Serif"/>
          <w:color w:val="000000"/>
          <w:sz w:val="26"/>
          <w:szCs w:val="26"/>
        </w:rPr>
        <w:t>6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. Арендная плата изменяется в одностороннем порядке по требованию арендодателя: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на коэффициент увеличения ежегодно по состоянию на 1 января очередного финансового года;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9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  <w:u w:val="single"/>
          </w:rPr>
          <w:t>статьей 16</w:t>
        </w:r>
        <w:proofErr w:type="gramEnd"/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Федерального закона от 3 июля 2016 года № 237-ФЗ «О государственной кадастровой оценке»,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двух процентов кадастровой стоимости иных арендуемых земельных участков; 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2) в случае если земельные участки предоставлены для размещения объектов, предусмотренных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10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  <w:u w:val="single"/>
          </w:rPr>
          <w:t>пунктом 2 статьи 49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4) в случае определения годового размера арендной платы по формулам, предусмотренным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11" w:anchor="P62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пунктами 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4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и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12" w:anchor="P88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</w:rPr>
          <w:t>6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настоящего Порядка, с применением коэффициента развития - размер земельного налога.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5)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 в случае заключения договора аренды земельного участка с лицами, указанными в </w:t>
      </w:r>
      <w:r w:rsidRPr="00B07ABE">
        <w:rPr>
          <w:rFonts w:ascii="Liberation Serif" w:hAnsi="Liberation Serif"/>
          <w:color w:val="000000"/>
          <w:sz w:val="26"/>
          <w:szCs w:val="26"/>
        </w:rPr>
        <w:t> </w:t>
      </w:r>
      <w:hyperlink r:id="rId13" w:history="1">
        <w:r w:rsidRPr="00B07ABE">
          <w:rPr>
            <w:rStyle w:val="pt-a0-000005"/>
            <w:rFonts w:ascii="Liberation Serif" w:hAnsi="Liberation Serif"/>
            <w:color w:val="0000FF"/>
            <w:sz w:val="26"/>
            <w:szCs w:val="26"/>
            <w:u w:val="single"/>
          </w:rPr>
          <w:t>пункте 5 статьи 39.7</w:t>
        </w:r>
        <w:r w:rsidRPr="00B07ABE">
          <w:rPr>
            <w:rStyle w:val="a3"/>
            <w:rFonts w:ascii="Liberation Serif" w:hAnsi="Liberation Serif"/>
            <w:sz w:val="26"/>
            <w:szCs w:val="26"/>
          </w:rPr>
          <w:t> </w:t>
        </w:r>
      </w:hyperlink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> Земельного кодекса Российской Федерации - размер земельного налога.</w:t>
      </w:r>
    </w:p>
    <w:p w:rsidR="00C32CEC" w:rsidRPr="00B07ABE" w:rsidRDefault="00C32CEC" w:rsidP="00C32CEC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/>
          <w:color w:val="000000"/>
          <w:sz w:val="26"/>
          <w:szCs w:val="26"/>
        </w:rPr>
      </w:pP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lastRenderedPageBreak/>
        <w:t xml:space="preserve">9. В случае если размер арендной платы, исчисленный в соответствии с пунктами 4 и 6 настоящего Порядка, превышает ограничения, указанные в пункте 8 настоящего Порядка, или предусмотренные иными нормами законодательства Российской Федерации, </w:t>
      </w:r>
      <w:r>
        <w:rPr>
          <w:rStyle w:val="pt-a0-000005"/>
          <w:rFonts w:ascii="Liberation Serif" w:hAnsi="Liberation Serif"/>
          <w:color w:val="000000"/>
          <w:sz w:val="26"/>
          <w:szCs w:val="26"/>
        </w:rPr>
        <w:t>Управление имущественных и земельных отношений администрации Чугуевского муниципального округа</w:t>
      </w:r>
      <w:r w:rsidRPr="00B07ABE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устанавливает в договоре аренды размер арендной платы, соответствующий этим ограничениям.</w:t>
      </w:r>
    </w:p>
    <w:p w:rsidR="00C32CEC" w:rsidRPr="00D422D1" w:rsidRDefault="00C32CEC" w:rsidP="00C32C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CEC" w:rsidRDefault="00C32CEC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Default="00856D1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86" w:rsidRDefault="00492D86" w:rsidP="00C32C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6D16" w:rsidRPr="002706CF" w:rsidRDefault="00856D16" w:rsidP="00856D16">
      <w:pPr>
        <w:pStyle w:val="pt-a-000014"/>
        <w:shd w:val="clear" w:color="auto" w:fill="FFFFFF"/>
        <w:spacing w:before="0" w:beforeAutospacing="0" w:after="0" w:afterAutospacing="0" w:line="302" w:lineRule="atLeast"/>
        <w:ind w:left="4253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 w:rsidRPr="002706CF">
        <w:rPr>
          <w:rStyle w:val="pt-a0-000005"/>
          <w:rFonts w:ascii="Liberation Serif" w:hAnsi="Liberation Serif"/>
          <w:color w:val="000000"/>
          <w:sz w:val="26"/>
          <w:szCs w:val="26"/>
        </w:rPr>
        <w:lastRenderedPageBreak/>
        <w:t>Приложение </w:t>
      </w:r>
    </w:p>
    <w:p w:rsidR="00856D16" w:rsidRPr="002706CF" w:rsidRDefault="00856D16" w:rsidP="00856D16">
      <w:pPr>
        <w:pStyle w:val="pt-a-000015"/>
        <w:shd w:val="clear" w:color="auto" w:fill="FFFFFF"/>
        <w:spacing w:before="0" w:beforeAutospacing="0" w:after="0" w:afterAutospacing="0" w:line="302" w:lineRule="atLeast"/>
        <w:ind w:left="4253"/>
        <w:jc w:val="both"/>
        <w:rPr>
          <w:rFonts w:ascii="Liberation Serif" w:hAnsi="Liberation Serif"/>
          <w:color w:val="000000"/>
          <w:sz w:val="26"/>
          <w:szCs w:val="26"/>
        </w:rPr>
      </w:pPr>
      <w:r w:rsidRPr="002706CF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к Порядку определения размера арендной платы за земельные участки, находящиеся в муниципальной собственности </w:t>
      </w:r>
      <w:r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Чугуевского муниципального </w:t>
      </w:r>
      <w:r w:rsidRPr="002706CF">
        <w:rPr>
          <w:rStyle w:val="pt-a0-000005"/>
          <w:rFonts w:ascii="Liberation Serif" w:hAnsi="Liberation Serif"/>
          <w:color w:val="000000"/>
          <w:sz w:val="26"/>
          <w:szCs w:val="26"/>
        </w:rPr>
        <w:t xml:space="preserve"> округа и предоставленные в аренду без торгов</w:t>
      </w:r>
    </w:p>
    <w:p w:rsidR="00856D16" w:rsidRDefault="00856D16" w:rsidP="00856D16">
      <w:pPr>
        <w:pStyle w:val="pt-a-000011"/>
        <w:shd w:val="clear" w:color="auto" w:fill="FFFFFF"/>
        <w:spacing w:before="0" w:beforeAutospacing="0" w:after="0" w:afterAutospacing="0" w:line="302" w:lineRule="atLeast"/>
        <w:ind w:left="4253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10"/>
          <w:rFonts w:ascii="Liberation Serif" w:hAnsi="Liberation Serif"/>
          <w:color w:val="000000"/>
          <w:sz w:val="28"/>
          <w:szCs w:val="28"/>
        </w:rPr>
        <w:t> </w:t>
      </w:r>
    </w:p>
    <w:p w:rsidR="00856D16" w:rsidRDefault="00856D16" w:rsidP="00856D16">
      <w:pPr>
        <w:pStyle w:val="pt-a-000011"/>
        <w:shd w:val="clear" w:color="auto" w:fill="FFFFFF"/>
        <w:spacing w:before="0" w:beforeAutospacing="0" w:after="0" w:afterAutospacing="0" w:line="302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01"/>
          <w:rFonts w:ascii="Liberation Serif" w:hAnsi="Liberation Serif"/>
          <w:b/>
          <w:bCs/>
          <w:color w:val="000000"/>
          <w:sz w:val="28"/>
          <w:szCs w:val="28"/>
        </w:rPr>
        <w:t>Ставки</w:t>
      </w:r>
    </w:p>
    <w:p w:rsidR="00856D16" w:rsidRDefault="00856D16" w:rsidP="00856D16">
      <w:pPr>
        <w:pStyle w:val="pt-a-000007"/>
        <w:shd w:val="clear" w:color="auto" w:fill="FFFFFF"/>
        <w:spacing w:before="0" w:beforeAutospacing="0" w:after="0" w:afterAutospacing="0" w:line="302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01"/>
          <w:rFonts w:ascii="Liberation Serif" w:hAnsi="Liberation Serif"/>
          <w:b/>
          <w:bCs/>
          <w:color w:val="000000"/>
          <w:sz w:val="28"/>
          <w:szCs w:val="28"/>
        </w:rPr>
        <w:t xml:space="preserve">арендной платы за земельные участки, находящиеся в муниципальной собственности </w:t>
      </w:r>
      <w:r w:rsidRPr="002706CF">
        <w:rPr>
          <w:rStyle w:val="pt-a0-000001"/>
          <w:rFonts w:ascii="Liberation Serif" w:hAnsi="Liberation Serif"/>
          <w:b/>
          <w:bCs/>
          <w:color w:val="000000"/>
          <w:sz w:val="28"/>
          <w:szCs w:val="28"/>
        </w:rPr>
        <w:t>Чугуевского муниципального  округа</w:t>
      </w:r>
      <w:r>
        <w:rPr>
          <w:rStyle w:val="pt-a0-000001"/>
          <w:rFonts w:ascii="Liberation Serif" w:hAnsi="Liberation Serif"/>
          <w:b/>
          <w:bCs/>
          <w:color w:val="000000"/>
          <w:sz w:val="28"/>
          <w:szCs w:val="28"/>
        </w:rPr>
        <w:t xml:space="preserve"> и предоставленные в аренду без торгов</w:t>
      </w:r>
    </w:p>
    <w:p w:rsidR="00856D16" w:rsidRDefault="00856D16" w:rsidP="00856D16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000010"/>
          <w:rFonts w:ascii="Liberation Serif" w:hAnsi="Liberation Serif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57"/>
        <w:gridCol w:w="1209"/>
      </w:tblGrid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 xml:space="preserve">№ </w:t>
            </w:r>
            <w:proofErr w:type="gramStart"/>
            <w:r>
              <w:rPr>
                <w:rStyle w:val="pt-a0-000025"/>
                <w:rFonts w:ascii="Liberation Serif" w:hAnsi="Liberation Serif"/>
              </w:rPr>
              <w:t>п</w:t>
            </w:r>
            <w:proofErr w:type="gramEnd"/>
            <w:r>
              <w:rPr>
                <w:rStyle w:val="pt-a0-000025"/>
                <w:rFonts w:ascii="Liberation Serif" w:hAnsi="Liberation Serif"/>
              </w:rPr>
              <w:t>/п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Ставка арендной платы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4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Растениеводство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Садоводство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3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2"/>
              <w:spacing w:before="0" w:beforeAutospacing="0" w:after="0" w:afterAutospacing="0" w:line="259" w:lineRule="atLeast"/>
              <w:jc w:val="both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для ведения личного подсобного хозяйства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 w:rsidRPr="002706CF">
              <w:rPr>
                <w:rStyle w:val="pt-a0-000025"/>
                <w:rFonts w:ascii="Liberation Serif" w:hAnsi="Liberation Serif"/>
              </w:rPr>
              <w:t>2,0%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4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для индивидуального жилищного строительства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5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 xml:space="preserve">для размещения (индивидуальных, кооперативных) гаражей, хранение автотранспорта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5,0%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6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2"/>
              <w:spacing w:before="0" w:beforeAutospacing="0" w:after="0" w:afterAutospacing="0" w:line="259" w:lineRule="atLeast"/>
              <w:jc w:val="both"/>
              <w:rPr>
                <w:rFonts w:ascii="Liberation Serif" w:hAnsi="Liberation Serif"/>
              </w:rPr>
            </w:pPr>
            <w:r w:rsidRPr="00E86236">
              <w:rPr>
                <w:rStyle w:val="pt-a0-000025"/>
                <w:rFonts w:ascii="Liberation Serif" w:hAnsi="Liberation Serif"/>
              </w:rPr>
              <w:t>для строительства многоэтажной жилой застройки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10,0%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7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E86236">
              <w:rPr>
                <w:rStyle w:val="pt-a0-000025"/>
                <w:rFonts w:ascii="Liberation Serif" w:hAnsi="Liberation Serif"/>
              </w:rPr>
              <w:t>для размещения автостоянок и парковок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 w:rsidRPr="00E86236">
              <w:rPr>
                <w:rStyle w:val="pt-a0-000025"/>
                <w:rFonts w:ascii="Liberation Serif" w:hAnsi="Liberation Serif"/>
              </w:rPr>
              <w:t>10,0%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8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E86236">
              <w:rPr>
                <w:rStyle w:val="pt-a0-000025"/>
                <w:rFonts w:ascii="Liberation Serif" w:hAnsi="Liberation Serif"/>
              </w:rPr>
              <w:t>для размещения объектов торговли, общественного питания, бытового обслуживания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21,0%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9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311ADF">
              <w:rPr>
                <w:rStyle w:val="pt-a0-000025"/>
                <w:rFonts w:ascii="Liberation Serif" w:hAnsi="Liberation Serif"/>
              </w:rPr>
              <w:t>для эксплуатации и обслуживания ресторанов, кафе, баров, столовых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8,5%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10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311ADF">
              <w:rPr>
                <w:rStyle w:val="pt-a0-000025"/>
                <w:rFonts w:ascii="Liberation Serif" w:hAnsi="Liberation Serif"/>
              </w:rPr>
              <w:t>для строительства объектов автозаправочных станций, предприятий автосервиса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25,0%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11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2"/>
              <w:spacing w:before="0" w:beforeAutospacing="0" w:after="0" w:afterAutospacing="0" w:line="259" w:lineRule="atLeast"/>
              <w:jc w:val="both"/>
              <w:rPr>
                <w:rFonts w:ascii="Liberation Serif" w:hAnsi="Liberation Serif"/>
              </w:rPr>
            </w:pPr>
            <w:r w:rsidRPr="00311ADF">
              <w:rPr>
                <w:rStyle w:val="pt-a0-000025"/>
                <w:rFonts w:ascii="Liberation Serif" w:hAnsi="Liberation Serif"/>
              </w:rPr>
              <w:t>для размещения аптечных организаций,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1,5%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12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 xml:space="preserve">для </w:t>
            </w:r>
            <w:r w:rsidRPr="009A649E">
              <w:rPr>
                <w:rStyle w:val="pt-a0-000025"/>
                <w:rFonts w:ascii="Liberation Serif" w:hAnsi="Liberation Serif"/>
              </w:rPr>
              <w:t>земельн</w:t>
            </w:r>
            <w:r>
              <w:rPr>
                <w:rStyle w:val="pt-a0-000025"/>
                <w:rFonts w:ascii="Liberation Serif" w:hAnsi="Liberation Serif"/>
              </w:rPr>
              <w:t>ых</w:t>
            </w:r>
            <w:r w:rsidRPr="009A649E">
              <w:rPr>
                <w:rStyle w:val="pt-a0-000025"/>
                <w:rFonts w:ascii="Liberation Serif" w:hAnsi="Liberation Serif"/>
              </w:rPr>
              <w:t xml:space="preserve"> участк</w:t>
            </w:r>
            <w:r>
              <w:rPr>
                <w:rStyle w:val="pt-a0-000025"/>
                <w:rFonts w:ascii="Liberation Serif" w:hAnsi="Liberation Serif"/>
              </w:rPr>
              <w:t>ов</w:t>
            </w:r>
            <w:r w:rsidRPr="009A649E">
              <w:rPr>
                <w:rStyle w:val="pt-a0-000025"/>
                <w:rFonts w:ascii="Liberation Serif" w:hAnsi="Liberation Serif"/>
              </w:rPr>
              <w:t>, предоставленн</w:t>
            </w:r>
            <w:r>
              <w:rPr>
                <w:rStyle w:val="pt-a0-000025"/>
                <w:rFonts w:ascii="Liberation Serif" w:hAnsi="Liberation Serif"/>
              </w:rPr>
              <w:t>ых</w:t>
            </w:r>
            <w:r w:rsidRPr="009A649E">
              <w:rPr>
                <w:rStyle w:val="pt-a0-000025"/>
                <w:rFonts w:ascii="Liberation Serif" w:hAnsi="Liberation Serif"/>
              </w:rPr>
              <w:t xml:space="preserve">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3,8%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13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9A649E">
              <w:rPr>
                <w:rStyle w:val="pt-a0-000025"/>
                <w:rFonts w:ascii="Liberation Serif" w:hAnsi="Liberation Serif"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1,5%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14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9A649E">
              <w:rPr>
                <w:rStyle w:val="pt-a0-000025"/>
                <w:rFonts w:ascii="Liberation Serif" w:hAnsi="Liberation Serif"/>
              </w:rPr>
              <w:t>для размещения  бытовых полигонов и прочих отходов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1,5%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15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1"/>
              <w:spacing w:before="0" w:beforeAutospacing="0" w:after="0" w:afterAutospacing="0" w:line="259" w:lineRule="atLeast"/>
              <w:rPr>
                <w:rFonts w:ascii="Liberation Serif" w:hAnsi="Liberation Serif"/>
              </w:rPr>
            </w:pPr>
            <w:r w:rsidRPr="009A649E">
              <w:rPr>
                <w:rStyle w:val="pt-a0-000025"/>
                <w:rFonts w:ascii="Liberation Serif" w:hAnsi="Liberation Serif"/>
              </w:rPr>
              <w:t>для размещения  баз и складов объектов промышленности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8,0%</w:t>
            </w:r>
          </w:p>
        </w:tc>
      </w:tr>
      <w:tr w:rsidR="00856D16" w:rsidTr="0069446C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16</w:t>
            </w:r>
          </w:p>
        </w:tc>
        <w:tc>
          <w:tcPr>
            <w:tcW w:w="5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16" w:rsidRDefault="00856D16" w:rsidP="0069446C">
            <w:pPr>
              <w:pStyle w:val="pt-a-000032"/>
              <w:spacing w:before="0" w:beforeAutospacing="0" w:after="0" w:afterAutospacing="0" w:line="259" w:lineRule="atLeast"/>
              <w:jc w:val="both"/>
              <w:rPr>
                <w:rFonts w:ascii="Liberation Serif" w:hAnsi="Liberation Serif"/>
              </w:rPr>
            </w:pPr>
            <w:proofErr w:type="gramStart"/>
            <w:r w:rsidRPr="009A649E">
              <w:rPr>
                <w:rStyle w:val="pt-a0-000025"/>
                <w:rFonts w:ascii="Liberation Serif" w:hAnsi="Liberation Serif"/>
              </w:rPr>
              <w:t>для сельскохозяйственного использования (угодья, пашни, сенокосы, пастбища, залежи, земли, занятые многолетними насаждениями)</w:t>
            </w:r>
            <w:proofErr w:type="gramEnd"/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16" w:rsidRDefault="00856D16" w:rsidP="0069446C">
            <w:pPr>
              <w:pStyle w:val="pt-a-000024"/>
              <w:spacing w:before="0" w:beforeAutospacing="0" w:after="0" w:afterAutospacing="0" w:line="259" w:lineRule="atLeast"/>
              <w:jc w:val="center"/>
              <w:rPr>
                <w:rFonts w:ascii="Liberation Serif" w:hAnsi="Liberation Serif"/>
              </w:rPr>
            </w:pPr>
            <w:r>
              <w:rPr>
                <w:rStyle w:val="pt-a0-000025"/>
                <w:rFonts w:ascii="Liberation Serif" w:hAnsi="Liberation Serif"/>
              </w:rPr>
              <w:t>1,2%</w:t>
            </w:r>
          </w:p>
        </w:tc>
      </w:tr>
    </w:tbl>
    <w:p w:rsidR="008427A9" w:rsidRDefault="008427A9" w:rsidP="008427A9">
      <w:pPr>
        <w:jc w:val="both"/>
      </w:pPr>
    </w:p>
    <w:sectPr w:rsidR="008427A9" w:rsidSect="00492D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0"/>
    <w:rsid w:val="00005CE3"/>
    <w:rsid w:val="0000678D"/>
    <w:rsid w:val="00025C2D"/>
    <w:rsid w:val="000A76CE"/>
    <w:rsid w:val="001E790C"/>
    <w:rsid w:val="002D1B47"/>
    <w:rsid w:val="00401191"/>
    <w:rsid w:val="00492D86"/>
    <w:rsid w:val="004E0554"/>
    <w:rsid w:val="005A7078"/>
    <w:rsid w:val="005B2FFC"/>
    <w:rsid w:val="005E0779"/>
    <w:rsid w:val="006059A4"/>
    <w:rsid w:val="007507B9"/>
    <w:rsid w:val="008427A9"/>
    <w:rsid w:val="00856D16"/>
    <w:rsid w:val="00894026"/>
    <w:rsid w:val="009F6B59"/>
    <w:rsid w:val="00BB0600"/>
    <w:rsid w:val="00C32CEC"/>
    <w:rsid w:val="00C378D0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8">
    <w:name w:val="pt-a-000008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C32CEC"/>
  </w:style>
  <w:style w:type="paragraph" w:customStyle="1" w:styleId="pt-a-000018">
    <w:name w:val="pt-a-000018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rsid w:val="00C32CEC"/>
  </w:style>
  <w:style w:type="character" w:styleId="a3">
    <w:name w:val="Hyperlink"/>
    <w:uiPriority w:val="99"/>
    <w:unhideWhenUsed/>
    <w:rsid w:val="00C32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3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856D16"/>
  </w:style>
  <w:style w:type="paragraph" w:customStyle="1" w:styleId="pt-a-000014">
    <w:name w:val="pt-a-000014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4">
    <w:name w:val="pt-a-000024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rsid w:val="00856D16"/>
  </w:style>
  <w:style w:type="paragraph" w:customStyle="1" w:styleId="pt-a-000031">
    <w:name w:val="pt-a-000031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8">
    <w:name w:val="pt-a-000008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rsid w:val="00C32CEC"/>
  </w:style>
  <w:style w:type="paragraph" w:customStyle="1" w:styleId="pt-a-000018">
    <w:name w:val="pt-a-000018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C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rsid w:val="00C32CEC"/>
  </w:style>
  <w:style w:type="character" w:styleId="a3">
    <w:name w:val="Hyperlink"/>
    <w:uiPriority w:val="99"/>
    <w:unhideWhenUsed/>
    <w:rsid w:val="00C32C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3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856D16"/>
  </w:style>
  <w:style w:type="paragraph" w:customStyle="1" w:styleId="pt-a-000014">
    <w:name w:val="pt-a-000014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4">
    <w:name w:val="pt-a-000024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rsid w:val="00856D16"/>
  </w:style>
  <w:style w:type="paragraph" w:customStyle="1" w:styleId="pt-a-000031">
    <w:name w:val="pt-a-000031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85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FileData/GetDocContent/9f9e62d8-7c3b-4fb5-98d8-bed7cafc2401" TargetMode="External"/><Relationship Id="rId13" Type="http://schemas.openxmlformats.org/officeDocument/2006/relationships/hyperlink" Target="consultantplus://offline/ref=9B1FE9F9681305BEB8DE0F4CCBC1BF297335349D2838C681E7DF08B419DE9C646FEA7D6368A8B6F564EA0E3855CEBC0E36E0DC7B07y1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16DF775E6A4CD2E381286A1AD81B2BBBE036C1A8F0746A2A9E107F7B184D6FDD5B0D90F116F82A77E46BB54vEgBM" TargetMode="External"/><Relationship Id="rId12" Type="http://schemas.openxmlformats.org/officeDocument/2006/relationships/hyperlink" Target="http://regulation.midural.ru/FileData/GetDocContent/9f9e62d8-7c3b-4fb5-98d8-bed7cafc24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egulation.midural.ru/FileData/GetDocContent/9f9e62d8-7c3b-4fb5-98d8-bed7cafc24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E16DF775E6A4CD2E381286A1AD81B2BBBC096D1A8A0746A2A9E107F7B184D6EFD5E8D50F127689F03100EE5BE8A51082A2AEC2363FvFg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16DF775E6A4CD2E381286A1AD81B2BBBE036C1A8F0746A2A9E107F7B184D6EFD5E8D50D147087AC6B10EA12BFAD0C87BFB0C3283FF658v5g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4CA0-1D29-4FA9-97ED-B01C727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2021-04-27T01:49:00Z</cp:lastPrinted>
  <dcterms:created xsi:type="dcterms:W3CDTF">2021-04-27T01:50:00Z</dcterms:created>
  <dcterms:modified xsi:type="dcterms:W3CDTF">2021-06-08T00:10:00Z</dcterms:modified>
</cp:coreProperties>
</file>