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DD88" w14:textId="77777777" w:rsidR="00406E43" w:rsidRPr="00ED6A3D" w:rsidRDefault="00406E43" w:rsidP="00406E43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ED6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14:paraId="75147242" w14:textId="77777777" w:rsidR="00406E43" w:rsidRDefault="00406E43" w:rsidP="00406E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2C705599" w14:textId="77777777" w:rsidR="00406E43" w:rsidRDefault="00406E43" w:rsidP="00406E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6C909FBA" w14:textId="77777777" w:rsidR="00406E43" w:rsidRPr="00890BE7" w:rsidRDefault="00406E43" w:rsidP="00406E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ПРОГРАММА</w:t>
      </w:r>
    </w:p>
    <w:p w14:paraId="034C97E9" w14:textId="411641A7" w:rsidR="00406E43" w:rsidRPr="00890BE7" w:rsidRDefault="00406E43" w:rsidP="0040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рисков причинения вреда (ущерба) охраняемым законом ценностям в сфере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жилищного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контроля на 2022 год</w:t>
      </w:r>
    </w:p>
    <w:p w14:paraId="2C6C8A81" w14:textId="77777777" w:rsidR="00406E43" w:rsidRPr="00890BE7" w:rsidRDefault="00406E43" w:rsidP="0040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0A4DEE" w14:textId="77777777" w:rsidR="00406E43" w:rsidRPr="00890BE7" w:rsidRDefault="00406E43" w:rsidP="00406E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C96DA" w14:textId="77777777" w:rsidR="00406E43" w:rsidRDefault="00406E43" w:rsidP="00406E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Раздел.1 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Общие положения</w:t>
      </w:r>
    </w:p>
    <w:p w14:paraId="3C13F88C" w14:textId="77777777" w:rsidR="00406E43" w:rsidRPr="00890BE7" w:rsidRDefault="00406E43" w:rsidP="00406E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14:paraId="6532D40C" w14:textId="06B74C8D" w:rsidR="00406E43" w:rsidRDefault="00406E43" w:rsidP="00406E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90BE7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причинение вреда (ущерба) охраняемым законом ценностям при осуществлении </w:t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жилищного</w:t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Чугуевского муниципального округа.</w:t>
      </w:r>
    </w:p>
    <w:p w14:paraId="69FDAB3F" w14:textId="77777777" w:rsidR="00406E43" w:rsidRDefault="00406E43" w:rsidP="00406E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39F7664" w14:textId="77777777" w:rsidR="00406E43" w:rsidRDefault="00406E43" w:rsidP="00406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 2. Анализ текущего состояния </w:t>
      </w:r>
    </w:p>
    <w:p w14:paraId="578DA063" w14:textId="73D606AA" w:rsidR="00406E43" w:rsidRDefault="00406E43" w:rsidP="00406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жилищного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контроля</w:t>
      </w:r>
    </w:p>
    <w:p w14:paraId="6F4EC96F" w14:textId="77777777" w:rsidR="00406E43" w:rsidRPr="00890BE7" w:rsidRDefault="00406E43" w:rsidP="00406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C83273A" w14:textId="77777777" w:rsidR="001C4E0F" w:rsidRDefault="00406E43" w:rsidP="001C4E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406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жилищный контроль </w:t>
      </w:r>
      <w:r w:rsidRPr="00AA092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осуществляется в соответствии со ст. 20 Жилищного кодекса Российской Федерации,</w:t>
      </w:r>
      <w:r w:rsidRPr="00AA092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Законом Приморского края от 08 октября 2012 года N 100-КЗ </w:t>
      </w:r>
      <w:hyperlink r:id="rId5" w:history="1">
        <w:r w:rsidRPr="00AA0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отдельных вопросах осуществления муниципального жилищного контроля на территории Приморского края»</w:t>
        </w:r>
      </w:hyperlink>
      <w:r w:rsidRPr="00AA09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F115A8" w14:textId="10F68619" w:rsidR="00406E43" w:rsidRPr="001C4E0F" w:rsidRDefault="00406E43" w:rsidP="001C4E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A0920">
        <w:rPr>
          <w:rFonts w:ascii="Times New Roman" w:eastAsia="Calibri" w:hAnsi="Times New Roman" w:cs="Times New Roman"/>
          <w:sz w:val="26"/>
          <w:lang w:eastAsia="ru-RU"/>
        </w:rPr>
        <w:t>Предметом муниципального жилищного контроля является организация и проведение проверок соблюдения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законодательством Российской Федерации, законодательством Приморского края, а также муниципальными нормативными правовыми актами Чугуевского муниципального округа, в том</w:t>
      </w:r>
      <w:r w:rsidRPr="00AA0920">
        <w:rPr>
          <w:rFonts w:ascii="Times New Roman" w:eastAsia="Calibri" w:hAnsi="Times New Roman" w:cs="Times New Roman"/>
          <w:spacing w:val="-9"/>
          <w:sz w:val="26"/>
          <w:lang w:eastAsia="ru-RU"/>
        </w:rPr>
        <w:t xml:space="preserve"> </w:t>
      </w:r>
      <w:r w:rsidRPr="00AA0920">
        <w:rPr>
          <w:rFonts w:ascii="Times New Roman" w:eastAsia="Calibri" w:hAnsi="Times New Roman" w:cs="Times New Roman"/>
          <w:sz w:val="26"/>
          <w:lang w:eastAsia="ru-RU"/>
        </w:rPr>
        <w:t>числе:</w:t>
      </w:r>
    </w:p>
    <w:p w14:paraId="6C2364D8" w14:textId="77777777" w:rsidR="001C4E0F" w:rsidRDefault="001C4E0F" w:rsidP="001C4E0F">
      <w:pPr>
        <w:widowControl w:val="0"/>
        <w:autoSpaceDE w:val="0"/>
        <w:autoSpaceDN w:val="0"/>
        <w:spacing w:before="100" w:beforeAutospacing="1" w:after="100" w:afterAutospacing="1" w:line="360" w:lineRule="auto"/>
        <w:ind w:right="11"/>
        <w:jc w:val="both"/>
        <w:rPr>
          <w:rFonts w:ascii="Times New Roman" w:eastAsia="Calibri" w:hAnsi="Times New Roman" w:cs="Times New Roman"/>
          <w:sz w:val="26"/>
          <w:lang w:eastAsia="ru-RU"/>
        </w:rPr>
      </w:pPr>
      <w:bookmarkStart w:id="0" w:name="_bookmark0"/>
      <w:bookmarkEnd w:id="0"/>
      <w:r>
        <w:rPr>
          <w:rFonts w:ascii="Times New Roman" w:eastAsia="Calibri" w:hAnsi="Times New Roman" w:cs="Times New Roman"/>
          <w:sz w:val="26"/>
          <w:lang w:eastAsia="ru-RU"/>
        </w:rPr>
        <w:tab/>
      </w:r>
      <w:r w:rsidR="00406E43">
        <w:rPr>
          <w:rFonts w:ascii="Times New Roman" w:eastAsia="Calibri" w:hAnsi="Times New Roman" w:cs="Times New Roman"/>
          <w:sz w:val="26"/>
          <w:lang w:eastAsia="ru-RU"/>
        </w:rPr>
        <w:t xml:space="preserve">1) </w:t>
      </w:r>
      <w:r w:rsidR="00406E43" w:rsidRPr="00AA0920">
        <w:rPr>
          <w:rFonts w:ascii="Times New Roman" w:eastAsia="Calibri" w:hAnsi="Times New Roman" w:cs="Times New Roman"/>
          <w:sz w:val="26"/>
          <w:lang w:eastAsia="ru-RU"/>
        </w:rPr>
        <w:t>требований по использованию и сохранности муниципального жилищного</w:t>
      </w:r>
      <w:r w:rsidR="00406E43" w:rsidRPr="00AA0920">
        <w:rPr>
          <w:rFonts w:ascii="Times New Roman" w:eastAsia="Calibri" w:hAnsi="Times New Roman" w:cs="Times New Roman"/>
          <w:spacing w:val="-3"/>
          <w:sz w:val="26"/>
          <w:lang w:eastAsia="ru-RU"/>
        </w:rPr>
        <w:t xml:space="preserve"> </w:t>
      </w:r>
      <w:r w:rsidR="00406E43" w:rsidRPr="00AA0920">
        <w:rPr>
          <w:rFonts w:ascii="Times New Roman" w:eastAsia="Calibri" w:hAnsi="Times New Roman" w:cs="Times New Roman"/>
          <w:sz w:val="26"/>
          <w:lang w:eastAsia="ru-RU"/>
        </w:rPr>
        <w:t>фонда;</w:t>
      </w:r>
    </w:p>
    <w:p w14:paraId="0F1AA54D" w14:textId="6BA676AB" w:rsidR="00406E43" w:rsidRPr="00AA0920" w:rsidRDefault="00406E43" w:rsidP="001C4E0F">
      <w:pPr>
        <w:widowControl w:val="0"/>
        <w:autoSpaceDE w:val="0"/>
        <w:autoSpaceDN w:val="0"/>
        <w:spacing w:before="100" w:beforeAutospacing="1" w:after="100" w:afterAutospacing="1" w:line="360" w:lineRule="auto"/>
        <w:ind w:right="11" w:firstLine="708"/>
        <w:jc w:val="both"/>
        <w:rPr>
          <w:rFonts w:ascii="Times New Roman" w:eastAsia="Calibri" w:hAnsi="Times New Roman" w:cs="Times New Roman"/>
          <w:sz w:val="26"/>
          <w:lang w:eastAsia="ru-RU"/>
        </w:rPr>
      </w:pPr>
      <w:r>
        <w:rPr>
          <w:rFonts w:ascii="Times New Roman" w:eastAsia="Calibri" w:hAnsi="Times New Roman" w:cs="Times New Roman"/>
          <w:sz w:val="26"/>
          <w:lang w:eastAsia="ru-RU"/>
        </w:rPr>
        <w:t xml:space="preserve">2) </w:t>
      </w:r>
      <w:r w:rsidRPr="00AA0920">
        <w:rPr>
          <w:rFonts w:ascii="Times New Roman" w:eastAsia="Calibri" w:hAnsi="Times New Roman" w:cs="Times New Roman"/>
          <w:sz w:val="26"/>
          <w:lang w:eastAsia="ru-RU"/>
        </w:rPr>
        <w:t>требований к использованию и содержанию общего имущества собственников помещений в многоквартирном</w:t>
      </w:r>
      <w:r w:rsidRPr="00AA0920">
        <w:rPr>
          <w:rFonts w:ascii="Times New Roman" w:eastAsia="Calibri" w:hAnsi="Times New Roman" w:cs="Times New Roman"/>
          <w:spacing w:val="-5"/>
          <w:sz w:val="26"/>
          <w:lang w:eastAsia="ru-RU"/>
        </w:rPr>
        <w:t xml:space="preserve"> </w:t>
      </w:r>
      <w:r w:rsidRPr="00AA0920">
        <w:rPr>
          <w:rFonts w:ascii="Times New Roman" w:eastAsia="Calibri" w:hAnsi="Times New Roman" w:cs="Times New Roman"/>
          <w:sz w:val="26"/>
          <w:lang w:eastAsia="ru-RU"/>
        </w:rPr>
        <w:t>доме;</w:t>
      </w:r>
    </w:p>
    <w:p w14:paraId="3C928E80" w14:textId="13DC763D" w:rsidR="00406E43" w:rsidRDefault="00406E43" w:rsidP="001C4E0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lang w:eastAsia="ru-RU"/>
        </w:rPr>
        <w:lastRenderedPageBreak/>
        <w:t xml:space="preserve">3) </w:t>
      </w:r>
      <w:r w:rsidRPr="00AA0920">
        <w:rPr>
          <w:rFonts w:ascii="Times New Roman" w:eastAsia="Calibri" w:hAnsi="Times New Roman" w:cs="Times New Roman"/>
          <w:sz w:val="26"/>
          <w:lang w:eastAsia="ru-RU"/>
        </w:rPr>
        <w:t>требований к предоставлению коммунальных услуг пользователям муниципальных жилых помещений в многоквартирных домах и муниципальных жилых</w:t>
      </w:r>
      <w:r w:rsidRPr="00AA0920">
        <w:rPr>
          <w:rFonts w:ascii="Times New Roman" w:eastAsia="Calibri" w:hAnsi="Times New Roman" w:cs="Times New Roman"/>
          <w:spacing w:val="-3"/>
          <w:sz w:val="26"/>
          <w:lang w:eastAsia="ru-RU"/>
        </w:rPr>
        <w:t xml:space="preserve"> </w:t>
      </w:r>
      <w:r w:rsidRPr="00AA0920">
        <w:rPr>
          <w:rFonts w:ascii="Times New Roman" w:eastAsia="Calibri" w:hAnsi="Times New Roman" w:cs="Times New Roman"/>
          <w:sz w:val="26"/>
          <w:lang w:eastAsia="ru-RU"/>
        </w:rPr>
        <w:t>домов</w:t>
      </w:r>
      <w:r w:rsidR="001C4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5D71A2FC" w14:textId="0492373A" w:rsidR="00406E43" w:rsidRPr="00890BE7" w:rsidRDefault="00406E43" w:rsidP="001C4E0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Функциональным органом администрации Чугуевского муниципального округа, уполномоченный на осуществление муниципального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контроля является отдел муниципального контроля (далее -Отдел).</w:t>
      </w:r>
    </w:p>
    <w:p w14:paraId="06180886" w14:textId="77777777" w:rsidR="00406E43" w:rsidRPr="00890BE7" w:rsidRDefault="00406E43" w:rsidP="00406E4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.2. Подконтрольные субъекты:</w:t>
      </w:r>
    </w:p>
    <w:p w14:paraId="630BBC24" w14:textId="562E0BC7" w:rsidR="00406E43" w:rsidRPr="00890BE7" w:rsidRDefault="00406E43" w:rsidP="00406E4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  <w:t>- юридический лица, индивидуальные предприниматели, граждане.</w:t>
      </w:r>
    </w:p>
    <w:p w14:paraId="543DAB83" w14:textId="6400620D" w:rsidR="00406E43" w:rsidRPr="00890BE7" w:rsidRDefault="00406E43" w:rsidP="00406E4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.3. Перечень нормативных правовых актов, содержащих обязательные требования, оценка соблюдения которых является предметом муниципального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жилищного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контроля, а также тексты соответствующих нормативных правовых актов опубликованы на официальном сайте Чугуевского муниципального округа в информационно-телекоммуникационной сети Интернет в разделе Законодательство Муниципальный контроль «Контрольно-надзорная деятельность» (https://www.chuguevsky.ru/administraciya/obyazatelnye-trebovaniya-i-trebovaniya-ustanovlennye-munitsipalnymi-pravovymi-aktami/ )</w:t>
      </w:r>
    </w:p>
    <w:p w14:paraId="5CE992C9" w14:textId="77777777" w:rsidR="00406E43" w:rsidRDefault="00406E43" w:rsidP="00406E43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2.4.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Данные о проведенных мероприятий по контролю, мероприятиях по профилактике нарушений и их результатах:</w:t>
      </w:r>
    </w:p>
    <w:p w14:paraId="2E45D265" w14:textId="13550467" w:rsidR="00406E43" w:rsidRDefault="00406E43" w:rsidP="00406E43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3D1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Постановлением Правительства Российской Федерации </w:t>
      </w:r>
      <w:r w:rsidRPr="003D156D">
        <w:rPr>
          <w:rFonts w:ascii="Times New Roman" w:hAnsi="Times New Roman" w:cs="Times New Roman"/>
          <w:sz w:val="26"/>
          <w:szCs w:val="26"/>
        </w:rPr>
        <w:t xml:space="preserve">от 30 ноября 2020 г. N 1969 </w:t>
      </w:r>
      <w:r>
        <w:rPr>
          <w:rFonts w:ascii="Times New Roman" w:hAnsi="Times New Roman" w:cs="Times New Roman"/>
          <w:sz w:val="26"/>
          <w:szCs w:val="26"/>
        </w:rPr>
        <w:t>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</w:t>
      </w:r>
      <w:r w:rsidR="00CE123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пального контроля ежегодных планов проведения плановых проверок юридических лиц и индивидуальных предпринимателей» </w:t>
      </w: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плана проведения плановых проверок на 202</w:t>
      </w:r>
      <w:r w:rsidRPr="003D156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исключены хозяйствующие субъекты, относящиеся к субъектам малого предпринимательства и включенные в Единый реестр субъектов малого и среднего предпринимательства.</w:t>
      </w:r>
    </w:p>
    <w:p w14:paraId="47A53B11" w14:textId="57ABED44" w:rsidR="00406E43" w:rsidRPr="001C4E0F" w:rsidRDefault="001C4E0F" w:rsidP="001C4E0F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Проверки в 2021 году не предусмотрены. </w:t>
      </w:r>
      <w:bookmarkStart w:id="1" w:name="_GoBack"/>
      <w:bookmarkEnd w:id="1"/>
      <w:r w:rsidR="00406E43"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Оснований для проведения внеплановых проверок в порядке, предусмотренном ст. 10 Федерального закона № 294-ФЗ </w:t>
      </w:r>
      <w:r w:rsidR="00406E43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за истекший период</w:t>
      </w:r>
      <w:r w:rsidR="00406E43"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  <w:r w:rsidR="00406E43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2021</w:t>
      </w:r>
      <w:r w:rsidR="00406E43"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год</w:t>
      </w:r>
      <w:r w:rsidR="00406E43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а</w:t>
      </w:r>
      <w:r w:rsidR="00406E43"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, не было.</w:t>
      </w:r>
    </w:p>
    <w:p w14:paraId="3BAE0334" w14:textId="77777777" w:rsidR="00CE1238" w:rsidRDefault="00CE1238" w:rsidP="00406E43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Жалоб, обращений за истекший период не поступало.</w:t>
      </w:r>
    </w:p>
    <w:p w14:paraId="26AAB2A7" w14:textId="77777777" w:rsidR="00CE1238" w:rsidRDefault="00406E43" w:rsidP="00CE1238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CE123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2.5. Потенциальными рисками являются: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</w:p>
    <w:p w14:paraId="75CA90A0" w14:textId="2A8AE4EE" w:rsidR="00CE1238" w:rsidRDefault="00CE1238" w:rsidP="00CE1238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AA092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Потенциальными рисками являются </w:t>
      </w:r>
      <w:r w:rsidRPr="00AA0920">
        <w:rPr>
          <w:rFonts w:ascii="Times New Roman" w:eastAsia="Times New Roman" w:hAnsi="Times New Roman" w:cs="Times New Roman"/>
          <w:sz w:val="26"/>
          <w:szCs w:val="24"/>
          <w:lang w:eastAsia="ru-RU"/>
        </w:rPr>
        <w:t>негативные последствия возможного несоблюдения подконтрольными субъектами обязательных требований в области жилищного законодательства.</w:t>
      </w:r>
    </w:p>
    <w:p w14:paraId="73882292" w14:textId="77777777" w:rsidR="00CE1238" w:rsidRPr="00AA0920" w:rsidRDefault="00CE1238" w:rsidP="00CE1238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AA0920">
        <w:rPr>
          <w:rFonts w:ascii="Times New Roman" w:eastAsia="Times New Roman" w:hAnsi="Times New Roman" w:cs="Times New Roman"/>
          <w:sz w:val="26"/>
          <w:szCs w:val="24"/>
          <w:lang w:eastAsia="ru-RU"/>
        </w:rPr>
        <w:t>Оценку эффективности муниципального жилищного контроля произвести невозможно в виду отсутствия мероприятий по контролю.</w:t>
      </w:r>
    </w:p>
    <w:p w14:paraId="0AEE5038" w14:textId="20C59436" w:rsidR="00CE1238" w:rsidRPr="00890BE7" w:rsidRDefault="00CE1238" w:rsidP="00CE1238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AA092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6</w:t>
      </w:r>
      <w:r w:rsidRPr="00AA092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. Анализ и оценка рисков причинения вреда охраняемым законом ценностям и (или) анализ и оценка причиненного ущерба:</w:t>
      </w:r>
    </w:p>
    <w:p w14:paraId="6E36A545" w14:textId="77777777" w:rsidR="00406E43" w:rsidRPr="00890BE7" w:rsidRDefault="00406E43" w:rsidP="0040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416F340A" w14:textId="77777777" w:rsidR="00406E43" w:rsidRDefault="00406E43" w:rsidP="0040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Раздел</w:t>
      </w:r>
      <w:r w:rsidRPr="00890B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3</w:t>
      </w:r>
      <w:r w:rsidRPr="00890B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Цели и задачи реализации программы профилактики</w:t>
      </w:r>
    </w:p>
    <w:p w14:paraId="622C33BB" w14:textId="77777777" w:rsidR="00406E43" w:rsidRDefault="00406E43" w:rsidP="00406E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4C96D71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3.1. Цели Программы:</w:t>
      </w:r>
    </w:p>
    <w:p w14:paraId="4E786017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7B0B3C9A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20CF83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C5C042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3.2. Задачи Программы:</w:t>
      </w:r>
    </w:p>
    <w:p w14:paraId="0F6DA4EE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7C5D0929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8356DC5" w14:textId="2305AC7B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формирование единого понимания обязательных требований </w:t>
      </w:r>
      <w:r w:rsidR="00CE123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жилищного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законодательства у всех участников контрольной деятельности;</w:t>
      </w:r>
    </w:p>
    <w:p w14:paraId="54C0EC6A" w14:textId="77777777" w:rsidR="00406E43" w:rsidRPr="00A05CB6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администрацией Чугуевского муниципального округа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контрольной деятельности;</w:t>
      </w:r>
    </w:p>
    <w:p w14:paraId="083A9426" w14:textId="77777777" w:rsidR="00406E43" w:rsidRPr="00ED6A3D" w:rsidRDefault="00406E43" w:rsidP="00406E4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4A523006" w14:textId="77777777" w:rsidR="00406E43" w:rsidRDefault="00406E43" w:rsidP="00406E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Раздел 4. 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14:paraId="4E093530" w14:textId="77777777" w:rsidR="00406E43" w:rsidRPr="00A05CB6" w:rsidRDefault="00406E43" w:rsidP="00406E4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tbl>
      <w:tblPr>
        <w:tblW w:w="970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351"/>
        <w:gridCol w:w="3461"/>
        <w:gridCol w:w="1908"/>
        <w:gridCol w:w="1422"/>
      </w:tblGrid>
      <w:tr w:rsidR="00406E43" w:rsidRPr="004A7501" w14:paraId="213C4483" w14:textId="77777777" w:rsidTr="00860933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4A5890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№</w:t>
            </w:r>
          </w:p>
          <w:p w14:paraId="09347C42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D8FB1B0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A0923D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7171E2E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CED9364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406E43" w:rsidRPr="004A7501" w14:paraId="7DCE987B" w14:textId="77777777" w:rsidTr="00860933">
        <w:trPr>
          <w:trHeight w:val="211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01D1F9F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52DBEC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DCBB950" w14:textId="66C4BB34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 муниципального контроля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</w:t>
            </w:r>
          </w:p>
          <w:p w14:paraId="4B90FDF7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Чугуевского муниципального округа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информационно-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телекоммуникационной сети «Интернет» и в иных формах.</w:t>
            </w:r>
          </w:p>
          <w:p w14:paraId="146BC6A6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Чугуевского муниципального округа в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сети «Интернет»:</w:t>
            </w:r>
          </w:p>
          <w:p w14:paraId="05B08096" w14:textId="01FE12EA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контроля;</w:t>
            </w:r>
          </w:p>
          <w:p w14:paraId="5F41A965" w14:textId="2494693F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2) сведения об изменениях, внесенных в нормативные правовые акты, регулирующие осуществление муниципального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контроля о сроках порядке их вступления;</w:t>
            </w:r>
          </w:p>
          <w:p w14:paraId="750C7CA7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B170142" w14:textId="77777777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913D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4) руководства по соблюдению обязательных требований;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3C984513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5)программу профилактики рисков причинение вреда; </w:t>
            </w:r>
          </w:p>
          <w:p w14:paraId="389ECCBC" w14:textId="77777777" w:rsidR="00406E43" w:rsidRDefault="00406E43" w:rsidP="00860933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6) доклады о муниципальном контроле;</w:t>
            </w:r>
          </w:p>
          <w:p w14:paraId="3F21122D" w14:textId="77777777" w:rsidR="00406E43" w:rsidRDefault="00406E43" w:rsidP="00860933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7) информацию о способах и процедуре самообследования в том числе методические рекомендации по проведению самообследования;</w:t>
            </w:r>
          </w:p>
          <w:p w14:paraId="72C325EE" w14:textId="77777777" w:rsidR="00406E43" w:rsidRPr="008A01D8" w:rsidRDefault="00406E43" w:rsidP="00860933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8) иные сведения, предусмотренные нормативными правовыми актами Российской Федерации, нормативными правовыми актами Приморского края,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39316A5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  <w:p w14:paraId="7CD88317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92A10AE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406E43" w:rsidRPr="004A7501" w14:paraId="6E1A3CB4" w14:textId="77777777" w:rsidTr="00860933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9BCAC81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2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32BA96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32CF1B8" w14:textId="0FF51984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При наличии </w:t>
            </w:r>
            <w:r w:rsidRPr="00B1650D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у органа муниципального контроля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о готовящихся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нарушениях обязательных требований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 или признаках нарушений обязательных требований 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 и (или) в случае отсутствия подтвержденных данных о том, что нарушение обязательных требований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E4208E5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65C0624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36481D2" w14:textId="77777777" w:rsidR="00406E43" w:rsidRPr="00D066FB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год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а</w:t>
            </w:r>
          </w:p>
          <w:p w14:paraId="71D540F5" w14:textId="77777777" w:rsidR="00406E43" w:rsidRPr="00D066FB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890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 оснований</w:t>
            </w:r>
            <w:r w:rsidRPr="00D066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1D29F7F5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406E43" w:rsidRPr="004A7501" w14:paraId="4749D16E" w14:textId="77777777" w:rsidTr="00860933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97C943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11038D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0C22DF0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муниципального контроля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по телефону, в письменной форме,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устной форме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на личном приеме либо в ходе проведения профилактического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мероприятия, контрольного мероприятия. Время консультирования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должно превышать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15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минут.</w:t>
            </w:r>
          </w:p>
          <w:p w14:paraId="04691174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Консультирование, осуществляется по следующим вопросам:</w:t>
            </w:r>
          </w:p>
          <w:p w14:paraId="4DCF4AA2" w14:textId="178B849F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организация и осуществление муниципального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контроля;</w:t>
            </w:r>
          </w:p>
          <w:p w14:paraId="246F0B3C" w14:textId="6A94A46E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- порядок осуществления профилактических, контрольных (надзорных) мероприятий, установленных Положение о муниципальном </w:t>
            </w:r>
            <w:r w:rsidR="00CE1238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жилищном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контроле.</w:t>
            </w:r>
          </w:p>
          <w:p w14:paraId="530EC33B" w14:textId="77777777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 в письменной форме осуществляется в случаях:</w:t>
            </w:r>
          </w:p>
          <w:p w14:paraId="78647E61" w14:textId="77777777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4251482C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-ответ на поставленные вопросы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требует дополнительного запроса сведений.</w:t>
            </w:r>
          </w:p>
          <w:p w14:paraId="434AA06B" w14:textId="77777777" w:rsidR="00406E43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сайте Чугуевского муниципального округа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информационно-телекоммуникационной сети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 муниципального контроля</w:t>
            </w:r>
          </w:p>
          <w:p w14:paraId="20F8F9F2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A9980EC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DF3A691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406E43" w:rsidRPr="004A7501" w14:paraId="69B1D2C2" w14:textId="77777777" w:rsidTr="00860933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5F4511C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8D88B72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Самообследование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66A5A05" w14:textId="77777777" w:rsidR="00406E43" w:rsidRDefault="00406E43" w:rsidP="00860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Чугуевского муниципального округа в сети «Интернет».</w:t>
            </w:r>
          </w:p>
          <w:p w14:paraId="190C6835" w14:textId="77777777" w:rsidR="00406E43" w:rsidRDefault="00406E43" w:rsidP="00860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по проведению самообследования размещаются на официальном сайте Чугуевского муниципального округа в разделе «Контрольно-надзорная деятельность»</w:t>
            </w:r>
          </w:p>
          <w:p w14:paraId="0C066C6F" w14:textId="77777777" w:rsidR="00406E43" w:rsidRDefault="00406E43" w:rsidP="00860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D7A941F" w14:textId="77777777" w:rsidR="00406E43" w:rsidRPr="004A7501" w:rsidRDefault="00406E43" w:rsidP="00860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2915323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C2F3284" w14:textId="77777777" w:rsidR="00406E43" w:rsidRPr="004A7501" w:rsidRDefault="00406E43" w:rsidP="00860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</w:tbl>
    <w:p w14:paraId="65EF5063" w14:textId="77777777" w:rsidR="00406E43" w:rsidRDefault="00406E43" w:rsidP="00406E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16479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Раздел 5. Показатели результативности и эффективности Программы</w:t>
      </w:r>
    </w:p>
    <w:p w14:paraId="28EBE618" w14:textId="77777777" w:rsidR="00406E43" w:rsidRDefault="00406E43" w:rsidP="00406E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3960"/>
        <w:gridCol w:w="2700"/>
      </w:tblGrid>
      <w:tr w:rsidR="00406E43" w:rsidRPr="005E0E33" w14:paraId="109B5BE9" w14:textId="77777777" w:rsidTr="00860933">
        <w:tc>
          <w:tcPr>
            <w:tcW w:w="648" w:type="dxa"/>
            <w:shd w:val="clear" w:color="auto" w:fill="auto"/>
          </w:tcPr>
          <w:p w14:paraId="7CE6F16B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20" w:type="dxa"/>
            <w:shd w:val="clear" w:color="auto" w:fill="auto"/>
          </w:tcPr>
          <w:p w14:paraId="42C899BF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960" w:type="dxa"/>
            <w:shd w:val="clear" w:color="auto" w:fill="auto"/>
          </w:tcPr>
          <w:p w14:paraId="24BF023D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Методика расчета показателя</w:t>
            </w:r>
          </w:p>
        </w:tc>
        <w:tc>
          <w:tcPr>
            <w:tcW w:w="2700" w:type="dxa"/>
            <w:shd w:val="clear" w:color="auto" w:fill="auto"/>
          </w:tcPr>
          <w:p w14:paraId="4EC5AD6F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Целевое значение</w:t>
            </w:r>
          </w:p>
        </w:tc>
      </w:tr>
      <w:tr w:rsidR="00406E43" w:rsidRPr="005E0E33" w14:paraId="02217CB7" w14:textId="77777777" w:rsidTr="00860933">
        <w:tc>
          <w:tcPr>
            <w:tcW w:w="648" w:type="dxa"/>
            <w:shd w:val="clear" w:color="auto" w:fill="auto"/>
          </w:tcPr>
          <w:p w14:paraId="3321B24B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14:paraId="2EC1A703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Доля выполненных профилактических программных мероприятий</w:t>
            </w:r>
          </w:p>
        </w:tc>
        <w:tc>
          <w:tcPr>
            <w:tcW w:w="3960" w:type="dxa"/>
            <w:shd w:val="clear" w:color="auto" w:fill="auto"/>
          </w:tcPr>
          <w:p w14:paraId="5630E7AB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Х = 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R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/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P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х 100%</w:t>
            </w:r>
          </w:p>
          <w:p w14:paraId="2D347333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0342A77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Х – доля выполненных профилактических программных мероприятий;</w:t>
            </w:r>
          </w:p>
          <w:p w14:paraId="7C4E073F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R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–количество выполненных программных мероприятий;</w:t>
            </w:r>
          </w:p>
          <w:p w14:paraId="5878EAEE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P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– количество мероприятий, предусмотренных программой</w:t>
            </w:r>
          </w:p>
        </w:tc>
        <w:tc>
          <w:tcPr>
            <w:tcW w:w="2700" w:type="dxa"/>
            <w:shd w:val="clear" w:color="auto" w:fill="auto"/>
          </w:tcPr>
          <w:p w14:paraId="31D98DCB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100%</w:t>
            </w:r>
          </w:p>
        </w:tc>
      </w:tr>
      <w:tr w:rsidR="00406E43" w:rsidRPr="005E0E33" w14:paraId="3BBCC1A5" w14:textId="77777777" w:rsidTr="00860933">
        <w:tc>
          <w:tcPr>
            <w:tcW w:w="648" w:type="dxa"/>
            <w:shd w:val="clear" w:color="auto" w:fill="auto"/>
          </w:tcPr>
          <w:p w14:paraId="59BA3565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520" w:type="dxa"/>
            <w:shd w:val="clear" w:color="auto" w:fill="auto"/>
          </w:tcPr>
          <w:p w14:paraId="579F5762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Количество поступивших жалоб по факту недоступности информации об установленных обязательных требованиях, требованиях, установленных муниципальными правовыми актами</w:t>
            </w:r>
          </w:p>
        </w:tc>
        <w:tc>
          <w:tcPr>
            <w:tcW w:w="3960" w:type="dxa"/>
            <w:shd w:val="clear" w:color="auto" w:fill="auto"/>
          </w:tcPr>
          <w:p w14:paraId="16E82677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Показатель имеет абсолютное значение</w:t>
            </w:r>
          </w:p>
        </w:tc>
        <w:tc>
          <w:tcPr>
            <w:tcW w:w="2700" w:type="dxa"/>
            <w:shd w:val="clear" w:color="auto" w:fill="auto"/>
          </w:tcPr>
          <w:p w14:paraId="6318713B" w14:textId="77777777" w:rsidR="00406E43" w:rsidRPr="005E0E33" w:rsidRDefault="00406E43" w:rsidP="008609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0</w:t>
            </w:r>
          </w:p>
        </w:tc>
      </w:tr>
    </w:tbl>
    <w:p w14:paraId="535DAF48" w14:textId="77777777" w:rsidR="00406E43" w:rsidRPr="005E0E33" w:rsidRDefault="00406E43" w:rsidP="00406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Эффект от реализованных мероприятий:</w:t>
      </w:r>
    </w:p>
    <w:p w14:paraId="4C1A3CEA" w14:textId="77777777" w:rsidR="00406E43" w:rsidRPr="005E0E33" w:rsidRDefault="00406E43" w:rsidP="00406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органу муниципального контроля</w:t>
      </w: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14:paraId="544E790A" w14:textId="0D8AB207" w:rsidR="00406E43" w:rsidRDefault="00406E43" w:rsidP="00CE1238">
      <w:pPr>
        <w:autoSpaceDE w:val="0"/>
        <w:autoSpaceDN w:val="0"/>
        <w:adjustRightInd w:val="0"/>
        <w:spacing w:after="0" w:line="360" w:lineRule="auto"/>
      </w:pPr>
    </w:p>
    <w:p w14:paraId="59E12DC9" w14:textId="77777777" w:rsidR="0058010A" w:rsidRDefault="0058010A"/>
    <w:sectPr w:rsidR="0058010A" w:rsidSect="00A05CB6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1FBC" w14:textId="77777777" w:rsidR="00A05CB6" w:rsidRDefault="001C4E0F" w:rsidP="00A05CB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7C3C18" w14:textId="77777777" w:rsidR="00A05CB6" w:rsidRDefault="001C4E0F" w:rsidP="00A05CB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D761" w14:textId="77777777" w:rsidR="00A05CB6" w:rsidRDefault="001C4E0F" w:rsidP="00A05CB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14:paraId="63B87E00" w14:textId="77777777" w:rsidR="00A05CB6" w:rsidRDefault="001C4E0F" w:rsidP="00A05CB6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BA35" w14:textId="77777777" w:rsidR="00A05CB6" w:rsidRDefault="001C4E0F">
    <w:pPr>
      <w:pStyle w:val="a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69E4AF" wp14:editId="427701CA">
              <wp:simplePos x="0" y="0"/>
              <wp:positionH relativeFrom="page">
                <wp:posOffset>3990975</wp:posOffset>
              </wp:positionH>
              <wp:positionV relativeFrom="page">
                <wp:posOffset>462915</wp:posOffset>
              </wp:positionV>
              <wp:extent cx="1943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6530A" w14:textId="77777777" w:rsidR="00A05CB6" w:rsidRPr="00B6417D" w:rsidRDefault="001C4E0F" w:rsidP="00A05CB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9E4A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4.25pt;margin-top:36.4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Si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BSe&#10;+n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" filled="f" stroked="f">
              <v:textbox inset="0,0,0,0">
                <w:txbxContent>
                  <w:p w14:paraId="6186530A" w14:textId="77777777" w:rsidR="00A05CB6" w:rsidRPr="00B6417D" w:rsidRDefault="001C4E0F" w:rsidP="00A05CB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12743"/>
    <w:multiLevelType w:val="hybridMultilevel"/>
    <w:tmpl w:val="FFFFFFFF"/>
    <w:lvl w:ilvl="0" w:tplc="C7DA6F3E">
      <w:start w:val="1"/>
      <w:numFmt w:val="decimal"/>
      <w:lvlText w:val="%1)"/>
      <w:lvlJc w:val="left"/>
      <w:pPr>
        <w:ind w:left="1001" w:hanging="46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6875AA">
      <w:numFmt w:val="bullet"/>
      <w:lvlText w:val="•"/>
      <w:lvlJc w:val="left"/>
      <w:pPr>
        <w:ind w:left="1116" w:hanging="461"/>
      </w:pPr>
      <w:rPr>
        <w:rFonts w:hint="default"/>
      </w:rPr>
    </w:lvl>
    <w:lvl w:ilvl="2" w:tplc="8C18019C">
      <w:numFmt w:val="bullet"/>
      <w:lvlText w:val="•"/>
      <w:lvlJc w:val="left"/>
      <w:pPr>
        <w:ind w:left="2093" w:hanging="461"/>
      </w:pPr>
      <w:rPr>
        <w:rFonts w:hint="default"/>
      </w:rPr>
    </w:lvl>
    <w:lvl w:ilvl="3" w:tplc="0F8E362E">
      <w:numFmt w:val="bullet"/>
      <w:lvlText w:val="•"/>
      <w:lvlJc w:val="left"/>
      <w:pPr>
        <w:ind w:left="3069" w:hanging="461"/>
      </w:pPr>
      <w:rPr>
        <w:rFonts w:hint="default"/>
      </w:rPr>
    </w:lvl>
    <w:lvl w:ilvl="4" w:tplc="083A13AC">
      <w:numFmt w:val="bullet"/>
      <w:lvlText w:val="•"/>
      <w:lvlJc w:val="left"/>
      <w:pPr>
        <w:ind w:left="4046" w:hanging="461"/>
      </w:pPr>
      <w:rPr>
        <w:rFonts w:hint="default"/>
      </w:rPr>
    </w:lvl>
    <w:lvl w:ilvl="5" w:tplc="319A5B94">
      <w:numFmt w:val="bullet"/>
      <w:lvlText w:val="•"/>
      <w:lvlJc w:val="left"/>
      <w:pPr>
        <w:ind w:left="5023" w:hanging="461"/>
      </w:pPr>
      <w:rPr>
        <w:rFonts w:hint="default"/>
      </w:rPr>
    </w:lvl>
    <w:lvl w:ilvl="6" w:tplc="D06AECE2">
      <w:numFmt w:val="bullet"/>
      <w:lvlText w:val="•"/>
      <w:lvlJc w:val="left"/>
      <w:pPr>
        <w:ind w:left="5999" w:hanging="461"/>
      </w:pPr>
      <w:rPr>
        <w:rFonts w:hint="default"/>
      </w:rPr>
    </w:lvl>
    <w:lvl w:ilvl="7" w:tplc="2BFE3CA4">
      <w:numFmt w:val="bullet"/>
      <w:lvlText w:val="•"/>
      <w:lvlJc w:val="left"/>
      <w:pPr>
        <w:ind w:left="6976" w:hanging="461"/>
      </w:pPr>
      <w:rPr>
        <w:rFonts w:hint="default"/>
      </w:rPr>
    </w:lvl>
    <w:lvl w:ilvl="8" w:tplc="D37E0070">
      <w:numFmt w:val="bullet"/>
      <w:lvlText w:val="•"/>
      <w:lvlJc w:val="left"/>
      <w:pPr>
        <w:ind w:left="7953" w:hanging="4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33"/>
    <w:rsid w:val="001C4E0F"/>
    <w:rsid w:val="00406E43"/>
    <w:rsid w:val="0058010A"/>
    <w:rsid w:val="00A64033"/>
    <w:rsid w:val="00C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AB73"/>
  <w15:chartTrackingRefBased/>
  <w15:docId w15:val="{6B7AEE86-9FCE-4B77-B280-F8D74BA4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6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6E43"/>
  </w:style>
  <w:style w:type="paragraph" w:styleId="a5">
    <w:name w:val="Body Text"/>
    <w:basedOn w:val="a"/>
    <w:link w:val="a6"/>
    <w:uiPriority w:val="99"/>
    <w:semiHidden/>
    <w:unhideWhenUsed/>
    <w:rsid w:val="00406E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06E43"/>
  </w:style>
  <w:style w:type="character" w:styleId="a7">
    <w:name w:val="page number"/>
    <w:basedOn w:val="a0"/>
    <w:rsid w:val="0040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974B577B19489D28D7C518FD55A1EC7A0C569D61AAB7C81644B63700F4BAF03663C5B10483DBD4E1C5028F4CAB31959AMDk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</dc:creator>
  <cp:keywords/>
  <dc:description/>
  <cp:lastModifiedBy>Pokrovskaya</cp:lastModifiedBy>
  <cp:revision>2</cp:revision>
  <dcterms:created xsi:type="dcterms:W3CDTF">2021-10-01T04:55:00Z</dcterms:created>
  <dcterms:modified xsi:type="dcterms:W3CDTF">2021-10-01T05:21:00Z</dcterms:modified>
</cp:coreProperties>
</file>