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4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74"/>
      </w:pPr>
      <w:r/>
      <w:r/>
    </w:p>
    <w:p>
      <w:pPr>
        <w:pStyle w:val="874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16.09.2026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Пресс-служба Управления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Росреестра по Приморскому краю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+7</w:t>
      </w:r>
      <w:r>
        <w:rPr>
          <w:rFonts w:ascii="Times New Roman" w:hAnsi="Times New Roman" w:eastAsia="Calibri" w:cs="Times New Roman"/>
          <w:sz w:val="28"/>
          <w:szCs w:val="28"/>
          <w:lang w:val="en-US"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(423)</w:t>
      </w:r>
      <w:r>
        <w:rPr>
          <w:rFonts w:ascii="Times New Roman" w:hAnsi="Times New Roman" w:eastAsia="Calibri" w:cs="Times New Roman"/>
          <w:sz w:val="28"/>
          <w:szCs w:val="28"/>
          <w:lang w:val="en-US"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245-49-23, доб. 1088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25press_rosreestr@mail.ru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690091, Владивосток, ул.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Посьетская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д. </w:t>
      </w:r>
      <w:r>
        <w:rPr>
          <w:rFonts w:ascii="Times New Roman" w:hAnsi="Times New Roman" w:cs="Times New Roman"/>
          <w:sz w:val="24"/>
          <w:szCs w:val="24"/>
        </w:rPr>
        <w:t xml:space="preserve">48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sz w:val="36"/>
          <w:szCs w:val="36"/>
          <w:highlight w:val="none"/>
        </w:rPr>
      </w:pP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</w:p>
    <w:p>
      <w:pPr>
        <w:jc w:val="both"/>
        <w:spacing w:before="0" w:beforeAutospacing="0" w:after="0" w:afterAutospacing="0" w:line="240" w:lineRule="auto"/>
      </w:pP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  <w:t xml:space="preserve">Свыше 5 тысяч слоев данных и 54 млн визитов Единой цифровой платформы «Национальная система пространственных данных».</w:t>
      </w: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r>
    </w:p>
    <w:p>
      <w:pPr>
        <w:jc w:val="both"/>
        <w:spacing w:before="0" w:beforeAutospacing="0" w:after="0" w:afterAutospacing="0" w:line="240" w:lineRule="auto"/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pP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ФГИС ЕЦП НСПД реализуется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Росреестром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в рамках государственной программы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Российской Федерации «Национальная система пространственных данных»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, утвержденной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 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Правительства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 РФ от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01.12.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2021 №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2148.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Это проект всероссийского масштаба,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главный отечественный геоинформационный ресурс, </w:t>
      </w:r>
      <w:r>
        <w:rPr>
          <w:rFonts w:ascii="Times New Roman" w:hAnsi="Times New Roman"/>
          <w:color w:val="000000"/>
          <w:sz w:val="28"/>
          <w:szCs w:val="28"/>
          <w:shd w:val="clear" w:color="auto" w:fill="fdfdfd"/>
        </w:rPr>
        <w:t xml:space="preserve">консолидирующий все</w:t>
      </w:r>
      <w:r>
        <w:rPr>
          <w:rFonts w:ascii="Times New Roman" w:hAnsi="Times New Roman"/>
          <w:color w:val="000000"/>
          <w:sz w:val="28"/>
          <w:szCs w:val="28"/>
          <w:shd w:val="clear" w:color="auto" w:fill="fdfdfd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открытые данные о территории, в том числе сведения о земле и недвижимости.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dfdfd"/>
        </w:rPr>
        <w:t xml:space="preserve">В настоящее время </w:t>
      </w:r>
      <w:r>
        <w:rPr>
          <w:rFonts w:ascii="Times New Roman" w:hAnsi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/>
          <w:color w:val="000000"/>
          <w:sz w:val="28"/>
          <w:szCs w:val="28"/>
        </w:rPr>
        <w:t xml:space="preserve"> основе системы – свыше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5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тыс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 xml:space="preserve">слоев </w:t>
      </w:r>
      <w:r>
        <w:rPr>
          <w:rFonts w:ascii="Times New Roman" w:hAnsi="Times New Roman"/>
          <w:color w:val="000000"/>
          <w:sz w:val="28"/>
          <w:szCs w:val="28"/>
        </w:rPr>
        <w:t xml:space="preserve">пространственных данных</w:t>
      </w:r>
      <w:r>
        <w:rPr>
          <w:rFonts w:ascii="Times New Roman" w:hAnsi="Times New Roman"/>
          <w:color w:val="000000"/>
          <w:sz w:val="28"/>
          <w:szCs w:val="28"/>
        </w:rPr>
        <w:t xml:space="preserve">, с ФГИС ЕЦП НСПД интегрировано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36 </w:t>
      </w:r>
      <w:r>
        <w:rPr>
          <w:rFonts w:ascii="Times New Roman" w:hAnsi="Times New Roman"/>
          <w:color w:val="000000"/>
          <w:sz w:val="28"/>
          <w:szCs w:val="28"/>
        </w:rPr>
        <w:t xml:space="preserve">федеральных,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93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региональных и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15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иных </w:t>
      </w:r>
      <w:r>
        <w:rPr>
          <w:rFonts w:ascii="Times New Roman" w:hAnsi="Times New Roman"/>
          <w:color w:val="000000"/>
          <w:sz w:val="28"/>
          <w:szCs w:val="28"/>
        </w:rPr>
        <w:t xml:space="preserve">информационных систем, которые обновляются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автоматическом режиме.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 сегодняшний день НСПД – это экосистема из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26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клиентоцентричных</w:t>
      </w:r>
      <w:r>
        <w:rPr>
          <w:rFonts w:ascii="Times New Roman" w:hAnsi="Times New Roman"/>
          <w:color w:val="000000"/>
          <w:sz w:val="28"/>
          <w:szCs w:val="28"/>
        </w:rPr>
        <w:t xml:space="preserve"> сервисов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для работы с картой и проведения аналитики рынка недвижимости</w:t>
      </w:r>
      <w:r>
        <w:rPr>
          <w:rFonts w:ascii="Times New Roman" w:hAnsi="Times New Roman"/>
          <w:color w:val="000000"/>
          <w:sz w:val="28"/>
          <w:szCs w:val="28"/>
        </w:rPr>
        <w:t xml:space="preserve">, ориентированных на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людей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,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профессиональных участников рынка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и </w:t>
      </w:r>
      <w:r>
        <w:rPr>
          <w:rFonts w:ascii="Times New Roman" w:hAnsi="Times New Roman"/>
          <w:color w:val="000000"/>
          <w:sz w:val="28"/>
          <w:szCs w:val="28"/>
        </w:rPr>
        <w:t xml:space="preserve">орган</w:t>
      </w:r>
      <w:r>
        <w:rPr>
          <w:rFonts w:ascii="Times New Roman" w:hAnsi="Times New Roman"/>
          <w:color w:val="000000"/>
          <w:sz w:val="28"/>
          <w:szCs w:val="28"/>
        </w:rPr>
        <w:t xml:space="preserve">ы</w:t>
      </w:r>
      <w:r>
        <w:rPr>
          <w:rFonts w:ascii="Times New Roman" w:hAnsi="Times New Roman"/>
          <w:color w:val="000000"/>
          <w:sz w:val="28"/>
          <w:szCs w:val="28"/>
        </w:rPr>
        <w:t xml:space="preserve"> власти.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Все сервисы НСПД находятся по адресу – </w:t>
      </w:r>
      <w:hyperlink r:id="rId10" w:tooltip="http://www.nspd.gov.ru" w:history="1">
        <w:r>
          <w:rPr>
            <w:rStyle w:val="877"/>
            <w:rFonts w:ascii="Times New Roman" w:hAnsi="Times New Roman"/>
            <w:bCs/>
            <w:sz w:val="28"/>
            <w:szCs w:val="28"/>
          </w:rPr>
          <w:t xml:space="preserve">http://www.nspd.gov.ru</w:t>
        </w:r>
      </w:hyperlink>
      <w:r>
        <w:rPr>
          <w:rFonts w:ascii="Times New Roman" w:hAnsi="Times New Roman"/>
          <w:bCs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bCs/>
          <w:color w:val="000000"/>
          <w:sz w:val="28"/>
          <w:szCs w:val="28"/>
        </w:rPr>
      </w:r>
      <w:r>
        <w:rPr>
          <w:rFonts w:ascii="Times New Roman" w:hAnsi="Times New Roman"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Создание и реализация НСПД является неотъемлемой частью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и инструментом пространственного развития, повышения капитализации территории субъектов РФ.</w:t>
      </w:r>
      <w:r>
        <w:rPr>
          <w:rFonts w:ascii="Times New Roman" w:hAnsi="Times New Roman"/>
          <w:bCs/>
          <w:color w:val="000000"/>
          <w:sz w:val="28"/>
          <w:szCs w:val="28"/>
        </w:rPr>
      </w:r>
      <w:r>
        <w:rPr>
          <w:rFonts w:ascii="Times New Roman" w:hAnsi="Times New Roman"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В декабре 2023 года введена в эксплуатацию первая очередь НСПД,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в декабре 2024 года – вторая, в ноябре 2025 – третья, в январе 2026 –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1-</w:t>
      </w:r>
      <w:r>
        <w:rPr>
          <w:rFonts w:ascii="Times New Roman" w:hAnsi="Times New Roman"/>
          <w:color w:val="000000"/>
          <w:sz w:val="28"/>
          <w:szCs w:val="28"/>
        </w:rPr>
        <w:t xml:space="preserve">й этап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четверт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ой очереди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, в июне 2026 –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2-й этап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четверт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ой очереди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bCs/>
          <w:color w:val="000000"/>
          <w:sz w:val="28"/>
          <w:szCs w:val="28"/>
        </w:rPr>
      </w:r>
      <w:r>
        <w:rPr>
          <w:rFonts w:ascii="Times New Roman" w:hAnsi="Times New Roman"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четвертой очереди ус</w:t>
      </w:r>
      <w:r>
        <w:rPr>
          <w:rFonts w:ascii="Times New Roman" w:hAnsi="Times New Roman"/>
          <w:sz w:val="28"/>
          <w:szCs w:val="28"/>
        </w:rPr>
        <w:t xml:space="preserve">овершенствован функционал 5 ключевых земельных сервисов – «Земля просто», «Земля для стройки», «Земля для туризма», «Земля для фермера», «ИЖС» – </w:t>
      </w:r>
      <w:r>
        <w:rPr>
          <w:rFonts w:ascii="Times New Roman" w:hAnsi="Times New Roman"/>
          <w:sz w:val="28"/>
          <w:szCs w:val="28"/>
        </w:rPr>
        <w:t xml:space="preserve">улучшена функциональность по подготовке схем земельных участков, поиска территории для застройки, реализовано бесшовное направление </w:t>
      </w:r>
      <w:r>
        <w:rPr>
          <w:rFonts w:ascii="Times New Roman" w:hAnsi="Times New Roman"/>
          <w:sz w:val="28"/>
          <w:szCs w:val="28"/>
        </w:rPr>
        <w:t xml:space="preserve">в ЕГРН </w:t>
      </w:r>
      <w:r>
        <w:rPr>
          <w:rFonts w:ascii="Times New Roman" w:hAnsi="Times New Roman"/>
          <w:sz w:val="28"/>
          <w:szCs w:val="28"/>
        </w:rPr>
        <w:t xml:space="preserve">сведений, необходимых для кадастрового учета земельных участков.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настоящее время в разработке находится </w:t>
      </w:r>
      <w:r>
        <w:rPr>
          <w:rFonts w:ascii="Times New Roman" w:hAnsi="Times New Roman"/>
          <w:b/>
          <w:sz w:val="28"/>
          <w:szCs w:val="28"/>
        </w:rPr>
        <w:t xml:space="preserve">5-я очередь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ФГИС ЕЦП НСПД</w:t>
      </w:r>
      <w:r>
        <w:rPr>
          <w:rFonts w:ascii="Times New Roman" w:hAnsi="Times New Roman"/>
          <w:sz w:val="28"/>
          <w:szCs w:val="28"/>
        </w:rPr>
        <w:t xml:space="preserve">. Пользователям будут доступны новые функции, позволяющие значительно сократить время на подготовку документов и материалов в инвестиционно-строительном цикле на основе пространственной информации НСПД.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Востребованность цифровой платформы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НСПД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существенно возросла в декабре 2024 года, когда на нее переве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ли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публичн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ую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кадастров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ую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карт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у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. Она была пересобрана на основе отечественного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импортозамещенного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геосервера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– теперь карта работает быстрее, созданы новые механизмы сохранения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и печати материалов.</w:t>
      </w:r>
      <w:r>
        <w:rPr>
          <w:rFonts w:ascii="Times New Roman" w:hAnsi="Times New Roman"/>
          <w:bCs/>
          <w:color w:val="000000"/>
          <w:sz w:val="28"/>
          <w:szCs w:val="28"/>
        </w:rPr>
      </w:r>
      <w:r>
        <w:rPr>
          <w:rFonts w:ascii="Times New Roman" w:hAnsi="Times New Roman"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«За первое полугодие 2025 года ресурс посетили порядка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30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млн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раз, а за аналогичный период 2026 года – порядка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54 млн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раз. Н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 цифровую платформу перенесен Фонд данных государственной кадастровой оценки, где содержатся подробные сведения и история определения кадастровой стоимости по всем объектам недвижимости в России. Отмечу, что с начала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2026 года на базе цифровой платформы осуществляется проведение массовой кадастровой оценки (Федеральный закон </w:t>
      </w:r>
      <w:r>
        <w:rPr>
          <w:rFonts w:ascii="Times New Roman" w:hAnsi="Times New Roman"/>
          <w:color w:val="000000"/>
          <w:sz w:val="28"/>
          <w:szCs w:val="28"/>
        </w:rPr>
        <w:t xml:space="preserve">от 23.07.2025 № 243–ФЗ)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 xml:space="preserve">В этом году </w:t>
      </w:r>
      <w:r>
        <w:rPr>
          <w:rFonts w:ascii="Times New Roman" w:hAnsi="Times New Roman"/>
          <w:color w:val="000000"/>
          <w:sz w:val="28"/>
          <w:szCs w:val="28"/>
        </w:rPr>
        <w:t xml:space="preserve">проводится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оценка земельных участков,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на</w:t>
      </w:r>
      <w:r>
        <w:rPr>
          <w:rFonts w:ascii="Times New Roman" w:hAnsi="Times New Roman"/>
          <w:color w:val="000000"/>
          <w:sz w:val="28"/>
          <w:szCs w:val="28"/>
        </w:rPr>
        <w:t xml:space="preserve"> 2027</w:t>
      </w:r>
      <w:r>
        <w:rPr>
          <w:rFonts w:ascii="Times New Roman" w:hAnsi="Times New Roman"/>
          <w:color w:val="000000"/>
          <w:sz w:val="28"/>
          <w:szCs w:val="28"/>
        </w:rPr>
        <w:t xml:space="preserve">-й запланирована </w:t>
      </w:r>
      <w:r>
        <w:rPr>
          <w:rFonts w:ascii="Times New Roman" w:hAnsi="Times New Roman"/>
          <w:color w:val="000000"/>
          <w:sz w:val="28"/>
          <w:szCs w:val="28"/>
        </w:rPr>
        <w:t xml:space="preserve">оценка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зданий и сооружений», – рассказал руководитель Управления Росреестра по Приморскому краю Александр Корнев.</w:t>
      </w:r>
      <w:r>
        <w:rPr>
          <w:rFonts w:ascii="Times New Roman" w:hAnsi="Times New Roman"/>
          <w:bCs/>
          <w:color w:val="000000"/>
          <w:sz w:val="28"/>
          <w:szCs w:val="28"/>
        </w:rPr>
      </w:r>
      <w:r>
        <w:rPr>
          <w:rFonts w:ascii="Times New Roman" w:hAnsi="Times New Roman"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</w:r>
      <w:r>
        <w:rPr>
          <w:rFonts w:ascii="Times New Roman" w:hAnsi="Times New Roman"/>
          <w:bCs/>
          <w:color w:val="000000"/>
          <w:sz w:val="28"/>
          <w:szCs w:val="28"/>
        </w:rPr>
      </w:r>
      <w:r>
        <w:rPr>
          <w:rFonts w:ascii="Times New Roman" w:hAnsi="Times New Roman"/>
          <w:bCs/>
          <w:color w:val="000000"/>
          <w:sz w:val="28"/>
          <w:szCs w:val="28"/>
        </w:rPr>
      </w:r>
    </w:p>
    <w:p>
      <w:pPr>
        <w:ind w:right="106" w:firstLine="708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60708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Проводятся мероприятия по </w:t>
      </w:r>
      <w:r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интеграции встраиваемого картографического компонента НСПД</w:t>
      </w: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 в информационные системы федеральных, региональных органов власти, муниципалитетов. </w:t>
      </w: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Карткомпонент</w:t>
      </w: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color w:val="060708"/>
          <w:sz w:val="28"/>
          <w:szCs w:val="28"/>
          <w:shd w:val="clear" w:color="auto" w:fill="ffffff"/>
          <w:lang w:eastAsia="ru-RU"/>
        </w:rPr>
        <w:t xml:space="preserve">позволяет органам власти, госкомпаниям и бизнесу работать с данными платформы напрямую из своих систем и проводить пространственный анализ.</w:t>
      </w:r>
      <w:r>
        <w:rPr>
          <w:rFonts w:ascii="Times New Roman" w:hAnsi="Times New Roman" w:eastAsia="Times New Roman"/>
          <w:color w:val="060708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/>
          <w:color w:val="060708"/>
          <w:sz w:val="28"/>
          <w:szCs w:val="28"/>
          <w:shd w:val="clear" w:color="auto" w:fill="ffffff"/>
          <w:lang w:eastAsia="ru-RU"/>
        </w:rPr>
        <w:t xml:space="preserve">Уже сегодня </w:t>
      </w:r>
      <w:r>
        <w:rPr>
          <w:rFonts w:ascii="Times New Roman" w:hAnsi="Times New Roman" w:eastAsia="Times New Roman"/>
          <w:color w:val="060708"/>
          <w:sz w:val="28"/>
          <w:szCs w:val="28"/>
          <w:shd w:val="clear" w:color="auto" w:fill="ffffff"/>
          <w:lang w:eastAsia="ru-RU"/>
        </w:rPr>
        <w:t xml:space="preserve">карткомпонент</w:t>
      </w:r>
      <w:r>
        <w:rPr>
          <w:rFonts w:ascii="Times New Roman" w:hAnsi="Times New Roman" w:eastAsia="Times New Roman"/>
          <w:color w:val="060708"/>
          <w:sz w:val="28"/>
          <w:szCs w:val="28"/>
          <w:shd w:val="clear" w:color="auto" w:fill="ffffff"/>
          <w:lang w:eastAsia="ru-RU"/>
        </w:rPr>
        <w:t xml:space="preserve"> НСПД успешно интегрирован в </w:t>
      </w:r>
      <w:r>
        <w:rPr>
          <w:rFonts w:ascii="Times New Roman" w:hAnsi="Times New Roman" w:eastAsia="Times New Roman"/>
          <w:b/>
          <w:bCs/>
          <w:color w:val="060708"/>
          <w:sz w:val="28"/>
          <w:szCs w:val="28"/>
          <w:shd w:val="clear" w:color="auto" w:fill="ffffff"/>
          <w:lang w:eastAsia="ru-RU"/>
        </w:rPr>
        <w:t xml:space="preserve">15</w:t>
      </w:r>
      <w:r>
        <w:rPr>
          <w:rFonts w:ascii="Times New Roman" w:hAnsi="Times New Roman" w:eastAsia="Times New Roman"/>
          <w:color w:val="060708"/>
          <w:sz w:val="28"/>
          <w:szCs w:val="28"/>
          <w:shd w:val="clear" w:color="auto" w:fill="ffffff"/>
          <w:lang w:eastAsia="ru-RU"/>
        </w:rPr>
        <w:t xml:space="preserve"> федеральных и </w:t>
      </w:r>
      <w:r>
        <w:rPr>
          <w:rFonts w:ascii="Times New Roman" w:hAnsi="Times New Roman" w:eastAsia="Times New Roman"/>
          <w:color w:val="060708"/>
          <w:sz w:val="28"/>
          <w:szCs w:val="28"/>
          <w:shd w:val="clear" w:color="auto" w:fill="ffffff"/>
          <w:lang w:eastAsia="ru-RU"/>
        </w:rPr>
        <w:t xml:space="preserve">7</w:t>
      </w:r>
      <w:r>
        <w:rPr>
          <w:rFonts w:ascii="Times New Roman" w:hAnsi="Times New Roman" w:eastAsia="Times New Roman"/>
          <w:b/>
          <w:bCs/>
          <w:color w:val="060708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/>
          <w:color w:val="060708"/>
          <w:sz w:val="28"/>
          <w:szCs w:val="28"/>
          <w:shd w:val="clear" w:color="auto" w:fill="ffffff"/>
          <w:lang w:eastAsia="ru-RU"/>
        </w:rPr>
        <w:t xml:space="preserve">региональных </w:t>
      </w:r>
      <w:r>
        <w:rPr>
          <w:rFonts w:ascii="Times New Roman" w:hAnsi="Times New Roman" w:eastAsia="Times New Roman"/>
          <w:color w:val="060708"/>
          <w:sz w:val="28"/>
          <w:szCs w:val="28"/>
          <w:shd w:val="clear" w:color="auto" w:fill="ffffff"/>
          <w:lang w:eastAsia="ru-RU"/>
        </w:rPr>
        <w:t xml:space="preserve">информационных систем.</w:t>
      </w:r>
      <w:r>
        <w:rPr>
          <w:rFonts w:ascii="Times New Roman" w:hAnsi="Times New Roman" w:eastAsia="Times New Roman"/>
          <w:color w:val="060708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/>
          <w:color w:val="060708"/>
          <w:sz w:val="28"/>
          <w:szCs w:val="28"/>
          <w:shd w:val="clear" w:color="auto" w:fill="ffffff"/>
          <w:lang w:eastAsia="ru-RU"/>
        </w:rPr>
      </w:r>
    </w:p>
    <w:p>
      <w:pPr>
        <w:ind w:right="106" w:firstLine="708"/>
        <w:jc w:val="both"/>
        <w:spacing w:after="0" w:line="240" w:lineRule="auto"/>
        <w:widowControl w:val="off"/>
        <w:rPr>
          <w:rFonts w:ascii="Times New Roman" w:hAnsi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</w:rPr>
      </w:r>
      <w:r>
        <w:rPr>
          <w:rFonts w:ascii="Times New Roman" w:hAnsi="Times New Roman"/>
          <w:bCs/>
          <w:iCs/>
          <w:color w:val="000000"/>
          <w:sz w:val="28"/>
          <w:szCs w:val="28"/>
        </w:rPr>
      </w:r>
      <w:r>
        <w:rPr>
          <w:rFonts w:ascii="Times New Roman" w:hAnsi="Times New Roman"/>
          <w:bCs/>
          <w:iCs/>
          <w:color w:val="000000"/>
          <w:sz w:val="28"/>
          <w:szCs w:val="28"/>
        </w:rPr>
      </w:r>
    </w:p>
    <w:p>
      <w:pPr>
        <w:ind w:right="106" w:firstLine="708"/>
        <w:jc w:val="both"/>
        <w:spacing w:after="0" w:line="240" w:lineRule="auto"/>
        <w:widowControl w:val="off"/>
        <w:rPr>
          <w:rFonts w:ascii="Times New Roman" w:hAnsi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В </w:t>
      </w:r>
      <w:r>
        <w:rPr>
          <w:rFonts w:ascii="Times New Roman" w:hAnsi="Times New Roman"/>
          <w:b/>
          <w:iCs/>
          <w:color w:val="000000"/>
          <w:sz w:val="28"/>
          <w:szCs w:val="28"/>
        </w:rPr>
        <w:t xml:space="preserve">декабре 2026</w:t>
      </w: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 года планируется завершить внедрение ФГИС ЕЦП НСПД на территории </w:t>
      </w:r>
      <w:r>
        <w:rPr>
          <w:rFonts w:ascii="Times New Roman" w:hAnsi="Times New Roman"/>
          <w:b/>
          <w:iCs/>
          <w:color w:val="000000"/>
          <w:sz w:val="28"/>
          <w:szCs w:val="28"/>
        </w:rPr>
        <w:t xml:space="preserve">8</w:t>
      </w:r>
      <w:r>
        <w:rPr>
          <w:rFonts w:ascii="Times New Roman" w:hAnsi="Times New Roman"/>
          <w:b/>
          <w:iCs/>
          <w:color w:val="000000"/>
          <w:sz w:val="28"/>
          <w:szCs w:val="28"/>
        </w:rPr>
        <w:t xml:space="preserve">9 </w:t>
      </w: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субъектов РФ (</w:t>
      </w: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в том числе на территории Донецкой Народной Республики, Луганской Народной Республики, Запорожской области, Херсонской области по индивидуальному плану</w:t>
      </w: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), а также обеспечить информационное взаимодействие ФГИС ЕЦП НСПД со </w:t>
      </w:r>
      <w:r>
        <w:rPr>
          <w:rFonts w:ascii="Times New Roman" w:hAnsi="Times New Roman"/>
          <w:b/>
          <w:iCs/>
          <w:color w:val="000000"/>
          <w:sz w:val="28"/>
          <w:szCs w:val="28"/>
        </w:rPr>
        <w:t xml:space="preserve">118</w:t>
      </w: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 региональными информационными системами.</w:t>
      </w:r>
      <w:r>
        <w:rPr>
          <w:rFonts w:ascii="Times New Roman" w:hAnsi="Times New Roman"/>
          <w:bCs/>
          <w:iCs/>
          <w:color w:val="000000"/>
          <w:sz w:val="28"/>
          <w:szCs w:val="28"/>
        </w:rPr>
      </w:r>
      <w:r>
        <w:rPr>
          <w:rFonts w:ascii="Times New Roman" w:hAnsi="Times New Roman"/>
          <w:bCs/>
          <w:iCs/>
          <w:color w:val="000000"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НСПД – пространство для ваших возможностей в один клик.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ачните использовать сервисы ФГИС ЕЦП НСПД прямо сейчас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suppressLineNumbers w:val="0"/>
      </w:pPr>
      <w:r>
        <w:br/>
      </w:r>
      <w:r>
        <w:rPr>
          <w:rFonts w:ascii="Segoe UI" w:hAnsi="Segoe UI" w:eastAsia="Arial Unicode MS" w:cs="Segoe UI"/>
          <w:b/>
          <w:color w:val="0070c0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3951369907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3139</wp:posOffset>
                </wp:positionV>
                <wp:extent cx="6000750" cy="0"/>
                <wp:effectExtent l="0" t="0" r="19050" b="19050"/>
                <wp:wrapNone/>
                <wp:docPr id="2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59264;o:allowoverlap:true;o:allowincell:true;mso-position-horizontal-relative:margin;mso-position-horizontal:left;mso-position-vertical-relative:text;margin-top:0.25pt;mso-position-vertical:absolute;width:472.50pt;height:0.00pt;mso-wrap-distance-left:9.00pt;mso-wrap-distance-top:0.00pt;mso-wrap-distance-right:9.00pt;mso-wrap-distance-bottom:-169093.20pt;visibility:visible;" filled="f" strokecolor="#0070C0" strokeweight="1.25pt"/>
            </w:pict>
          </mc:Fallback>
        </mc:AlternateContent>
      </w:r>
      <w:r>
        <w:rPr>
          <w:rFonts w:ascii="Segoe UI" w:hAnsi="Segoe UI" w:eastAsia="Arial Unicode MS" w:cs="Segoe UI"/>
          <w:b/>
          <w:sz w:val="24"/>
          <w:szCs w:val="24"/>
          <w:lang w:eastAsia="sk-SK" w:bidi="hi-IN"/>
        </w:rPr>
        <w:t xml:space="preserve">О Росреестре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both"/>
        <w:spacing w:before="240" w:after="240" w:line="240" w:lineRule="auto"/>
        <w:widowControl w:val="off"/>
        <w:rPr>
          <w:rFonts w:ascii="Segoe UI" w:hAnsi="Segoe UI" w:eastAsia="Arial Unicode MS" w:cs="Segoe UI"/>
          <w:sz w:val="18"/>
          <w:szCs w:val="18"/>
          <w:lang w:eastAsia="hi-IN" w:bidi="hi-IN"/>
        </w:rPr>
      </w:pP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ППК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 «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Роскадастр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» и ФГБУ «Центр геодезии, картографии и ИПД». 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</w:r>
    </w:p>
    <w:sectPr>
      <w:footnotePr/>
      <w:endnotePr/>
      <w:type w:val="nextPage"/>
      <w:pgSz w:w="11906" w:h="16838" w:orient="portrait"/>
      <w:pgMar w:top="567" w:right="850" w:bottom="426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Nimbus Roman">
    <w:panose1 w:val="00000500000000000000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05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77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9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1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3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65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7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9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17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3">
    <w:name w:val="Heading 1 Char"/>
    <w:basedOn w:val="869"/>
    <w:link w:val="868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67"/>
    <w:next w:val="867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basedOn w:val="869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67"/>
    <w:next w:val="867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basedOn w:val="869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67"/>
    <w:next w:val="867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basedOn w:val="869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7"/>
    <w:next w:val="867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basedOn w:val="869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67"/>
    <w:next w:val="867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basedOn w:val="869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67"/>
    <w:next w:val="867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basedOn w:val="869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67"/>
    <w:next w:val="867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basedOn w:val="869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67"/>
    <w:next w:val="867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69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Title"/>
    <w:basedOn w:val="867"/>
    <w:next w:val="867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basedOn w:val="869"/>
    <w:link w:val="710"/>
    <w:uiPriority w:val="10"/>
    <w:rPr>
      <w:sz w:val="48"/>
      <w:szCs w:val="48"/>
    </w:rPr>
  </w:style>
  <w:style w:type="paragraph" w:styleId="712">
    <w:name w:val="Subtitle"/>
    <w:basedOn w:val="867"/>
    <w:next w:val="867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9"/>
    <w:link w:val="712"/>
    <w:uiPriority w:val="11"/>
    <w:rPr>
      <w:sz w:val="24"/>
      <w:szCs w:val="24"/>
    </w:rPr>
  </w:style>
  <w:style w:type="paragraph" w:styleId="714">
    <w:name w:val="Quote"/>
    <w:basedOn w:val="867"/>
    <w:next w:val="867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7"/>
    <w:next w:val="867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paragraph" w:styleId="718">
    <w:name w:val="Header"/>
    <w:basedOn w:val="867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>
    <w:name w:val="Header Char"/>
    <w:basedOn w:val="869"/>
    <w:link w:val="718"/>
    <w:uiPriority w:val="99"/>
  </w:style>
  <w:style w:type="paragraph" w:styleId="720">
    <w:name w:val="Footer"/>
    <w:basedOn w:val="867"/>
    <w:link w:val="7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>
    <w:name w:val="Footer Char"/>
    <w:basedOn w:val="869"/>
    <w:link w:val="720"/>
    <w:uiPriority w:val="99"/>
  </w:style>
  <w:style w:type="paragraph" w:styleId="722">
    <w:name w:val="Caption"/>
    <w:basedOn w:val="867"/>
    <w:next w:val="867"/>
    <w:link w:val="7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3">
    <w:name w:val="Caption Char"/>
    <w:basedOn w:val="722"/>
    <w:link w:val="720"/>
    <w:uiPriority w:val="35"/>
  </w:style>
  <w:style w:type="table" w:styleId="724">
    <w:name w:val="Table Grid"/>
    <w:basedOn w:val="87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Table Grid Light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>
    <w:name w:val="Grid Table 4 - Accent 1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4">
    <w:name w:val="Grid Table 4 - Accent 2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5">
    <w:name w:val="Grid Table 4 - Accent 3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6">
    <w:name w:val="Grid Table 4 - Accent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7">
    <w:name w:val="Grid Table 4 - Accent 5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8">
    <w:name w:val="Grid Table 4 - Accent 6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9">
    <w:name w:val="Grid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6">
    <w:name w:val="Grid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7">
    <w:name w:val="Grid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8">
    <w:name w:val="Grid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9">
    <w:name w:val="Grid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0">
    <w:name w:val="Grid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1">
    <w:name w:val="Grid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8">
    <w:name w:val="List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9">
    <w:name w:val="List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0">
    <w:name w:val="List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1">
    <w:name w:val="List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2">
    <w:name w:val="List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3">
    <w:name w:val="List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6">
    <w:name w:val="List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7">
    <w:name w:val="List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List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9">
    <w:name w:val="List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List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1">
    <w:name w:val="List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2">
    <w:name w:val="List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3">
    <w:name w:val="List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4">
    <w:name w:val="List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5">
    <w:name w:val="List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6">
    <w:name w:val="List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7">
    <w:name w:val="List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8">
    <w:name w:val="List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9">
    <w:name w:val="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 &amp; 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Bordered &amp; 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Bordered &amp; 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Bordered &amp; 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Bordered &amp; 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Bordered &amp; 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Bordered &amp; 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4">
    <w:name w:val="Bordered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5">
    <w:name w:val="Bordered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6">
    <w:name w:val="Bordered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7">
    <w:name w:val="Bordered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8">
    <w:name w:val="Bordered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9">
    <w:name w:val="Bordered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0">
    <w:name w:val="footnote text"/>
    <w:basedOn w:val="867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>
    <w:name w:val="Footnote Text Char"/>
    <w:link w:val="850"/>
    <w:uiPriority w:val="99"/>
    <w:rPr>
      <w:sz w:val="18"/>
    </w:rPr>
  </w:style>
  <w:style w:type="character" w:styleId="852">
    <w:name w:val="footnote reference"/>
    <w:basedOn w:val="869"/>
    <w:uiPriority w:val="99"/>
    <w:unhideWhenUsed/>
    <w:rPr>
      <w:vertAlign w:val="superscript"/>
    </w:rPr>
  </w:style>
  <w:style w:type="paragraph" w:styleId="853">
    <w:name w:val="endnote text"/>
    <w:basedOn w:val="867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>
    <w:name w:val="Endnote Text Char"/>
    <w:link w:val="853"/>
    <w:uiPriority w:val="99"/>
    <w:rPr>
      <w:sz w:val="20"/>
    </w:rPr>
  </w:style>
  <w:style w:type="character" w:styleId="855">
    <w:name w:val="endnote reference"/>
    <w:basedOn w:val="869"/>
    <w:uiPriority w:val="99"/>
    <w:semiHidden/>
    <w:unhideWhenUsed/>
    <w:rPr>
      <w:vertAlign w:val="superscript"/>
    </w:rPr>
  </w:style>
  <w:style w:type="paragraph" w:styleId="856">
    <w:name w:val="toc 1"/>
    <w:basedOn w:val="867"/>
    <w:next w:val="867"/>
    <w:uiPriority w:val="39"/>
    <w:unhideWhenUsed/>
    <w:pPr>
      <w:ind w:left="0" w:right="0" w:firstLine="0"/>
      <w:spacing w:after="57"/>
    </w:pPr>
  </w:style>
  <w:style w:type="paragraph" w:styleId="857">
    <w:name w:val="toc 2"/>
    <w:basedOn w:val="867"/>
    <w:next w:val="867"/>
    <w:uiPriority w:val="39"/>
    <w:unhideWhenUsed/>
    <w:pPr>
      <w:ind w:left="283" w:right="0" w:firstLine="0"/>
      <w:spacing w:after="57"/>
    </w:pPr>
  </w:style>
  <w:style w:type="paragraph" w:styleId="858">
    <w:name w:val="toc 3"/>
    <w:basedOn w:val="867"/>
    <w:next w:val="867"/>
    <w:uiPriority w:val="39"/>
    <w:unhideWhenUsed/>
    <w:pPr>
      <w:ind w:left="567" w:right="0" w:firstLine="0"/>
      <w:spacing w:after="57"/>
    </w:pPr>
  </w:style>
  <w:style w:type="paragraph" w:styleId="859">
    <w:name w:val="toc 4"/>
    <w:basedOn w:val="867"/>
    <w:next w:val="867"/>
    <w:uiPriority w:val="39"/>
    <w:unhideWhenUsed/>
    <w:pPr>
      <w:ind w:left="850" w:right="0" w:firstLine="0"/>
      <w:spacing w:after="57"/>
    </w:pPr>
  </w:style>
  <w:style w:type="paragraph" w:styleId="860">
    <w:name w:val="toc 5"/>
    <w:basedOn w:val="867"/>
    <w:next w:val="867"/>
    <w:uiPriority w:val="39"/>
    <w:unhideWhenUsed/>
    <w:pPr>
      <w:ind w:left="1134" w:right="0" w:firstLine="0"/>
      <w:spacing w:after="57"/>
    </w:pPr>
  </w:style>
  <w:style w:type="paragraph" w:styleId="861">
    <w:name w:val="toc 6"/>
    <w:basedOn w:val="867"/>
    <w:next w:val="867"/>
    <w:uiPriority w:val="39"/>
    <w:unhideWhenUsed/>
    <w:pPr>
      <w:ind w:left="1417" w:right="0" w:firstLine="0"/>
      <w:spacing w:after="57"/>
    </w:pPr>
  </w:style>
  <w:style w:type="paragraph" w:styleId="862">
    <w:name w:val="toc 7"/>
    <w:basedOn w:val="867"/>
    <w:next w:val="867"/>
    <w:uiPriority w:val="39"/>
    <w:unhideWhenUsed/>
    <w:pPr>
      <w:ind w:left="1701" w:right="0" w:firstLine="0"/>
      <w:spacing w:after="57"/>
    </w:pPr>
  </w:style>
  <w:style w:type="paragraph" w:styleId="863">
    <w:name w:val="toc 8"/>
    <w:basedOn w:val="867"/>
    <w:next w:val="867"/>
    <w:uiPriority w:val="39"/>
    <w:unhideWhenUsed/>
    <w:pPr>
      <w:ind w:left="1984" w:right="0" w:firstLine="0"/>
      <w:spacing w:after="57"/>
    </w:pPr>
  </w:style>
  <w:style w:type="paragraph" w:styleId="864">
    <w:name w:val="toc 9"/>
    <w:basedOn w:val="867"/>
    <w:next w:val="867"/>
    <w:uiPriority w:val="39"/>
    <w:unhideWhenUsed/>
    <w:pPr>
      <w:ind w:left="2268" w:right="0" w:firstLine="0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867"/>
    <w:next w:val="867"/>
    <w:uiPriority w:val="99"/>
    <w:unhideWhenUsed/>
    <w:pPr>
      <w:spacing w:after="0" w:afterAutospacing="0"/>
    </w:pPr>
  </w:style>
  <w:style w:type="paragraph" w:styleId="867" w:default="1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paragraph" w:styleId="868">
    <w:name w:val="Heading 1"/>
    <w:basedOn w:val="867"/>
    <w:next w:val="867"/>
    <w:link w:val="875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  <w:lang w:eastAsia="en-US"/>
    </w:rPr>
  </w:style>
  <w:style w:type="character" w:styleId="869" w:default="1">
    <w:name w:val="Default Paragraph Font"/>
    <w:uiPriority w:val="1"/>
    <w:semiHidden/>
    <w:unhideWhenUsed/>
  </w:style>
  <w:style w:type="table" w:styleId="8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1" w:default="1">
    <w:name w:val="No List"/>
    <w:uiPriority w:val="99"/>
    <w:semiHidden/>
    <w:unhideWhenUsed/>
  </w:style>
  <w:style w:type="paragraph" w:styleId="872">
    <w:name w:val="Balloon Text"/>
    <w:basedOn w:val="867"/>
    <w:link w:val="873"/>
    <w:uiPriority w:val="99"/>
    <w:semiHidden/>
    <w:unhideWhenUsed/>
    <w:pPr>
      <w:spacing w:after="0" w:line="240" w:lineRule="auto"/>
    </w:pPr>
    <w:rPr>
      <w:rFonts w:ascii="Segoe UI" w:hAnsi="Segoe UI" w:cs="Segoe UI" w:eastAsiaTheme="minorHAnsi"/>
      <w:sz w:val="18"/>
      <w:szCs w:val="18"/>
      <w:lang w:eastAsia="en-US"/>
    </w:rPr>
  </w:style>
  <w:style w:type="character" w:styleId="873" w:customStyle="1">
    <w:name w:val="Текст выноски Знак"/>
    <w:basedOn w:val="869"/>
    <w:link w:val="872"/>
    <w:uiPriority w:val="99"/>
    <w:semiHidden/>
    <w:rPr>
      <w:rFonts w:ascii="Segoe UI" w:hAnsi="Segoe UI" w:cs="Segoe UI"/>
      <w:sz w:val="18"/>
      <w:szCs w:val="18"/>
    </w:rPr>
  </w:style>
  <w:style w:type="paragraph" w:styleId="874">
    <w:name w:val="No Spacing"/>
    <w:uiPriority w:val="1"/>
    <w:qFormat/>
    <w:pPr>
      <w:spacing w:after="0" w:line="240" w:lineRule="auto"/>
    </w:pPr>
  </w:style>
  <w:style w:type="character" w:styleId="875" w:customStyle="1">
    <w:name w:val="Заголовок 1 Знак"/>
    <w:basedOn w:val="869"/>
    <w:link w:val="868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76">
    <w:name w:val="List Paragraph"/>
    <w:basedOn w:val="867"/>
    <w:uiPriority w:val="34"/>
    <w:qFormat/>
    <w:pPr>
      <w:contextualSpacing/>
      <w:ind w:left="720"/>
      <w:spacing w:after="160" w:line="256" w:lineRule="auto"/>
    </w:pPr>
    <w:rPr>
      <w:rFonts w:eastAsiaTheme="minorHAnsi"/>
      <w:lang w:eastAsia="en-US"/>
    </w:rPr>
  </w:style>
  <w:style w:type="character" w:styleId="877">
    <w:name w:val="Hyperlink"/>
    <w:basedOn w:val="869"/>
    <w:uiPriority w:val="99"/>
    <w:unhideWhenUsed/>
    <w:rPr>
      <w:color w:val="0563c1" w:themeColor="hyperlink"/>
      <w:u w:val="single"/>
    </w:rPr>
  </w:style>
  <w:style w:type="character" w:styleId="878">
    <w:name w:val="annotation reference"/>
    <w:basedOn w:val="869"/>
    <w:uiPriority w:val="99"/>
    <w:semiHidden/>
    <w:unhideWhenUsed/>
    <w:rPr>
      <w:sz w:val="16"/>
      <w:szCs w:val="16"/>
    </w:rPr>
  </w:style>
  <w:style w:type="paragraph" w:styleId="879">
    <w:name w:val="annotation text"/>
    <w:basedOn w:val="867"/>
    <w:link w:val="880"/>
    <w:uiPriority w:val="99"/>
    <w:semiHidden/>
    <w:unhideWhenUsed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styleId="880" w:customStyle="1">
    <w:name w:val="Текст примечания Знак"/>
    <w:basedOn w:val="869"/>
    <w:link w:val="879"/>
    <w:uiPriority w:val="99"/>
    <w:semiHidden/>
    <w:rPr>
      <w:sz w:val="20"/>
      <w:szCs w:val="20"/>
    </w:rPr>
  </w:style>
  <w:style w:type="paragraph" w:styleId="881">
    <w:name w:val="annotation subject"/>
    <w:basedOn w:val="879"/>
    <w:next w:val="879"/>
    <w:link w:val="882"/>
    <w:uiPriority w:val="99"/>
    <w:semiHidden/>
    <w:unhideWhenUsed/>
    <w:rPr>
      <w:b/>
      <w:bCs/>
    </w:rPr>
  </w:style>
  <w:style w:type="character" w:styleId="882" w:customStyle="1">
    <w:name w:val="Тема примечания Знак"/>
    <w:basedOn w:val="880"/>
    <w:link w:val="881"/>
    <w:uiPriority w:val="99"/>
    <w:semiHidden/>
    <w:rPr>
      <w:b/>
      <w:bCs/>
      <w:sz w:val="20"/>
      <w:szCs w:val="20"/>
    </w:rPr>
  </w:style>
  <w:style w:type="character" w:styleId="883">
    <w:name w:val="FollowedHyperlink"/>
    <w:basedOn w:val="869"/>
    <w:uiPriority w:val="99"/>
    <w:semiHidden/>
    <w:unhideWhenUsed/>
    <w:rPr>
      <w:color w:val="954f72" w:themeColor="followedHyperlink"/>
      <w:u w:val="single"/>
    </w:rPr>
  </w:style>
  <w:style w:type="paragraph" w:styleId="884">
    <w:name w:val="Normal (Web)"/>
    <w:basedOn w:val="867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85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000000" w:themeColor="text1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://www.nspd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lazarenkotn</cp:lastModifiedBy>
  <cp:revision>134</cp:revision>
  <dcterms:created xsi:type="dcterms:W3CDTF">2023-08-16T23:21:00Z</dcterms:created>
  <dcterms:modified xsi:type="dcterms:W3CDTF">2026-09-15T23:22:32Z</dcterms:modified>
</cp:coreProperties>
</file>