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1C3E41A5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49855F7B" w:rsidR="00235EEF" w:rsidRDefault="005F0989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02.10</w:t>
      </w:r>
      <w:r w:rsidR="0034142F">
        <w:rPr>
          <w:rFonts w:ascii="Times New Roman" w:hAnsi="Times New Roman" w:cs="Times New Roman"/>
          <w:b/>
          <w:sz w:val="26"/>
          <w:szCs w:val="26"/>
        </w:rPr>
        <w:t>.202</w:t>
      </w:r>
      <w:r w:rsidR="00332D22">
        <w:rPr>
          <w:rFonts w:ascii="Times New Roman" w:hAnsi="Times New Roman" w:cs="Times New Roman"/>
          <w:b/>
          <w:sz w:val="26"/>
          <w:szCs w:val="26"/>
        </w:rPr>
        <w:t>4</w:t>
      </w:r>
    </w:p>
    <w:p w14:paraId="7C365A02" w14:textId="77777777" w:rsidR="00953564" w:rsidRDefault="00953564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E3C1F22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Пресс-служба Управления</w:t>
      </w:r>
    </w:p>
    <w:p w14:paraId="3383029D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Росреестра по Приморскому краю</w:t>
      </w:r>
    </w:p>
    <w:p w14:paraId="05592622" w14:textId="77777777" w:rsidR="00102D89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+7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(423)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245-49-23, доб. 1085</w:t>
      </w:r>
    </w:p>
    <w:p w14:paraId="440821C5" w14:textId="2A96CD0F" w:rsidR="00953564" w:rsidRDefault="000131CA" w:rsidP="009535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102D89" w:rsidRPr="00082EC6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25press_rosreestr@mail.ru</w:t>
        </w:r>
      </w:hyperlink>
    </w:p>
    <w:p w14:paraId="33EBCDFD" w14:textId="77777777" w:rsidR="00102D89" w:rsidRDefault="00102D89" w:rsidP="00102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690091, Владивосток, ул. </w:t>
      </w:r>
      <w:proofErr w:type="spellStart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>Посьетская</w:t>
      </w:r>
      <w:proofErr w:type="spellEnd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д. </w:t>
      </w:r>
      <w:r w:rsidRPr="00862E4E">
        <w:rPr>
          <w:rFonts w:ascii="Times New Roman" w:hAnsi="Times New Roman" w:cs="Times New Roman"/>
          <w:sz w:val="24"/>
          <w:szCs w:val="24"/>
        </w:rPr>
        <w:t>48</w:t>
      </w:r>
    </w:p>
    <w:p w14:paraId="042562B8" w14:textId="7CD3FA94" w:rsidR="00E8694D" w:rsidRDefault="00E8694D" w:rsidP="00E8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E2C2A8F" w14:textId="77777777" w:rsidR="00C40A65" w:rsidRDefault="00C40A65" w:rsidP="00C40A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ACCF7F" w14:textId="77777777" w:rsidR="005F0989" w:rsidRPr="005F0989" w:rsidRDefault="005F0989" w:rsidP="005F0989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F098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На минувшей неделе сотрудники отдела </w:t>
      </w:r>
      <w:proofErr w:type="spellStart"/>
      <w:r w:rsidRPr="005F098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госземнадзора</w:t>
      </w:r>
      <w:proofErr w:type="spellEnd"/>
      <w:r w:rsidRPr="005F098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Приморского Росреестра </w:t>
      </w:r>
      <w:proofErr w:type="spellStart"/>
      <w:r w:rsidRPr="005F098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закоординировали</w:t>
      </w:r>
      <w:proofErr w:type="spellEnd"/>
      <w:r w:rsidRPr="005F098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труднодоступный пункт </w:t>
      </w:r>
      <w:proofErr w:type="spellStart"/>
      <w:r w:rsidRPr="005F098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ГГрС</w:t>
      </w:r>
      <w:proofErr w:type="spellEnd"/>
      <w:r w:rsidRPr="005F098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14:paraId="2CA0FE80" w14:textId="77777777" w:rsidR="005F0989" w:rsidRPr="005F0989" w:rsidRDefault="005F0989" w:rsidP="005F0989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3750334A" w14:textId="3ED2C806" w:rsidR="005F0989" w:rsidRPr="005F0989" w:rsidRDefault="005F0989" w:rsidP="005F0989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 государственной гравиметрической сети (</w:t>
      </w:r>
      <w:proofErr w:type="spellStart"/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>ГГрС</w:t>
      </w:r>
      <w:proofErr w:type="spellEnd"/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«Залив Владимира» находится в </w:t>
      </w:r>
      <w:proofErr w:type="spellStart"/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>Ольгинском</w:t>
      </w:r>
      <w:proofErr w:type="spellEnd"/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муниципальном округе, что находится </w:t>
      </w:r>
      <w:r w:rsidR="000131CA"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>в 500</w:t>
      </w:r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км от Владивостока. Для того, чтобы его </w:t>
      </w:r>
      <w:proofErr w:type="spellStart"/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закоординировать</w:t>
      </w:r>
      <w:proofErr w:type="spellEnd"/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установить охранную зону инспекторам необходимо было обследовать несколько геодезических пунктов с известными координатами.</w:t>
      </w:r>
      <w:r w:rsidRPr="005F0989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</w:p>
    <w:p w14:paraId="1ACC7FF7" w14:textId="77777777" w:rsidR="005F0989" w:rsidRPr="005F0989" w:rsidRDefault="005F0989" w:rsidP="005F0989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 4 дня работы в </w:t>
      </w:r>
      <w:proofErr w:type="spellStart"/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>Ольгинском</w:t>
      </w:r>
      <w:proofErr w:type="spellEnd"/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районе инспекторы обследовали 5 пунктов государственной геодезической сети: </w:t>
      </w:r>
      <w:proofErr w:type="spellStart"/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>Ящука</w:t>
      </w:r>
      <w:proofErr w:type="spellEnd"/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(высота 495 м), </w:t>
      </w:r>
      <w:proofErr w:type="spellStart"/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>Рымник</w:t>
      </w:r>
      <w:proofErr w:type="spellEnd"/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(высота 527 м), Белая (высота 612 м), Зеленая (высота 476 м), Невидимка (252 м). Для выполнения этой задачи им пришлось пройти более 50 километров по труднодоступной местности.</w:t>
      </w:r>
    </w:p>
    <w:p w14:paraId="3255F7A7" w14:textId="77777777" w:rsidR="005F0989" w:rsidRPr="005F0989" w:rsidRDefault="005F0989" w:rsidP="005F0989">
      <w:pPr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результате этой большой работы при помощи спутникового геодезического оборудования вычислено точное местоположение и координаты пункта </w:t>
      </w:r>
      <w:proofErr w:type="spellStart"/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>ГГрС</w:t>
      </w:r>
      <w:proofErr w:type="spellEnd"/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«Залив Владимира», а также установлена его охранная зона. </w:t>
      </w:r>
    </w:p>
    <w:p w14:paraId="270AA21A" w14:textId="35DFA4B5" w:rsidR="005F0989" w:rsidRPr="005F0989" w:rsidRDefault="005F0989" w:rsidP="005F0989">
      <w:pPr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i/>
          <w:color w:val="FF0000"/>
          <w:sz w:val="28"/>
          <w:szCs w:val="28"/>
          <w:shd w:val="clear" w:color="auto" w:fill="FFFFFF"/>
          <w:lang w:eastAsia="en-US"/>
        </w:rPr>
      </w:pPr>
      <w:r w:rsidRPr="005F0989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Гравиметрический пункт «Залив Владимира» сохранился в рабочем состоянии, грунтовый репер тоже. Сам пункт сильно зарос и требует восстановления монолита, </w:t>
      </w:r>
      <w:proofErr w:type="spellStart"/>
      <w:r w:rsidRPr="005F0989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окопка</w:t>
      </w:r>
      <w:proofErr w:type="spellEnd"/>
      <w:r w:rsidRPr="005F0989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читается плохо. Все это в дальнейшем будет восстановлено силами </w:t>
      </w:r>
      <w:r w:rsidR="000131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</w:t>
      </w:r>
      <w:r w:rsidRPr="005F0989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ублично</w:t>
      </w:r>
      <w:r w:rsidR="000131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-</w:t>
      </w:r>
      <w:r w:rsidRPr="005F0989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правовой компании «</w:t>
      </w:r>
      <w:proofErr w:type="spellStart"/>
      <w:r w:rsidRPr="005F0989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Роскадастр</w:t>
      </w:r>
      <w:proofErr w:type="spellEnd"/>
      <w:r w:rsidRPr="005F0989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»</w:t>
      </w:r>
      <w:r w:rsidR="000131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.</w:t>
      </w:r>
      <w:bookmarkStart w:id="0" w:name="_GoBack"/>
      <w:bookmarkEnd w:id="0"/>
    </w:p>
    <w:p w14:paraId="5DF99084" w14:textId="77777777" w:rsidR="005F0989" w:rsidRPr="005F0989" w:rsidRDefault="005F0989" w:rsidP="005F0989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Сведения об охранных зонах пунктов </w:t>
      </w:r>
      <w:proofErr w:type="spellStart"/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>ГГрС</w:t>
      </w:r>
      <w:proofErr w:type="spellEnd"/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отображены на публичной кадастровой карте</w:t>
      </w:r>
      <w:r w:rsidRPr="005F0989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>и в ЕГРН.</w:t>
      </w:r>
      <w:r w:rsidRPr="005F0989">
        <w:rPr>
          <w:rFonts w:ascii="Arial" w:eastAsiaTheme="minorHAnsi" w:hAnsi="Arial" w:cs="Arial"/>
          <w:color w:val="292C2F"/>
          <w:lang w:eastAsia="en-US"/>
        </w:rPr>
        <w:t xml:space="preserve"> </w:t>
      </w:r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земельных участках, которые включены в состав </w:t>
      </w:r>
      <w:r w:rsidRPr="005F098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таких зон, вводится особый режим использования территорий, ограничивающий или запрещающий те виды деятельности, которые не совместимы с целями установления зон</w:t>
      </w:r>
      <w:r w:rsidRPr="005F0989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.</w:t>
      </w:r>
    </w:p>
    <w:p w14:paraId="4A2A0652" w14:textId="77777777" w:rsidR="005F0989" w:rsidRPr="005F0989" w:rsidRDefault="005F0989" w:rsidP="005F0989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  <w:r w:rsidRPr="005F0989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«Во время создания геодезических проектов местности мы иногда сталкиваемся с труднодоступными геодезическими пунктами по причине ограниченного доступа, удаленности от дорог и троп и перепадом высот. Однако, это необходимо для любых видов работ осуществляемой геодезистами» - говорит Анна Мухина, заместитель начальника отдела государственного земельного надзора, геодезии и картографии. </w:t>
      </w:r>
    </w:p>
    <w:p w14:paraId="494166FB" w14:textId="77777777" w:rsidR="005F0989" w:rsidRPr="005F0989" w:rsidRDefault="005F0989" w:rsidP="005F0989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</w:p>
    <w:p w14:paraId="6D189A4D" w14:textId="77777777" w:rsidR="005F0989" w:rsidRPr="005F0989" w:rsidRDefault="005F0989" w:rsidP="005F0989">
      <w:pPr>
        <w:keepNext/>
        <w:keepLines/>
        <w:shd w:val="clear" w:color="auto" w:fill="FDFDFD"/>
        <w:spacing w:after="0" w:line="259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0989">
        <w:rPr>
          <w:rFonts w:ascii="Times New Roman" w:eastAsiaTheme="majorEastAsia" w:hAnsi="Times New Roman" w:cs="Times New Roman"/>
          <w:i/>
          <w:iCs/>
          <w:sz w:val="28"/>
          <w:szCs w:val="28"/>
          <w:shd w:val="clear" w:color="auto" w:fill="FFFFFF"/>
          <w:lang w:eastAsia="en-US"/>
        </w:rPr>
        <w:t xml:space="preserve">Для справки: </w:t>
      </w:r>
    </w:p>
    <w:p w14:paraId="63E4641F" w14:textId="77777777" w:rsidR="005F0989" w:rsidRPr="005F0989" w:rsidRDefault="005F0989" w:rsidP="005F098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5F0989">
        <w:rPr>
          <w:rFonts w:ascii="Times New Roman" w:eastAsiaTheme="minorHAnsi" w:hAnsi="Times New Roman" w:cs="Times New Roman"/>
          <w:b/>
          <w:color w:val="111111"/>
          <w:sz w:val="28"/>
          <w:szCs w:val="28"/>
          <w:shd w:val="clear" w:color="auto" w:fill="FDFDFD"/>
          <w:lang w:eastAsia="en-US"/>
        </w:rPr>
        <w:t>Гравиметрический пункт</w:t>
      </w:r>
      <w:r w:rsidRPr="005F0989">
        <w:rPr>
          <w:rFonts w:ascii="Times New Roman" w:eastAsiaTheme="minorHAnsi" w:hAnsi="Times New Roman" w:cs="Times New Roman"/>
          <w:color w:val="111111"/>
          <w:sz w:val="28"/>
          <w:szCs w:val="28"/>
          <w:shd w:val="clear" w:color="auto" w:fill="FDFDFD"/>
          <w:lang w:eastAsia="en-US"/>
        </w:rPr>
        <w:t> - инженерная конструкция, закрепляющая точку земной поверхности, с которой сопоставлены результаты гравиметрических измерений.</w:t>
      </w:r>
      <w:r w:rsidRPr="005F0989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(Федеральный закон от 30.12.2015 № 431-ФЗ «</w:t>
      </w:r>
      <w:r w:rsidRPr="005F0989">
        <w:rPr>
          <w:rFonts w:ascii="Times New Roman" w:eastAsia="Times New Roman" w:hAnsi="Times New Roman" w:cs="Times New Roman"/>
          <w:bCs/>
          <w:sz w:val="28"/>
          <w:szCs w:val="28"/>
        </w:rPr>
        <w:t>О геодезии, картографии и пространственных данных и о внесении изменений в отдельные законодательные акты Российской Федерации</w:t>
      </w:r>
      <w:r w:rsidRPr="005F098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»).</w:t>
      </w:r>
    </w:p>
    <w:p w14:paraId="3176E26A" w14:textId="77777777" w:rsidR="00D3165C" w:rsidRPr="00D3165C" w:rsidRDefault="00D3165C" w:rsidP="00D3165C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647BB43A" w14:textId="77777777" w:rsidR="00C40A65" w:rsidRPr="00C40A65" w:rsidRDefault="00C40A65" w:rsidP="00D3165C">
      <w:pPr>
        <w:spacing w:after="160" w:line="240" w:lineRule="auto"/>
        <w:ind w:left="-567" w:firstLine="1134"/>
        <w:contextualSpacing/>
        <w:jc w:val="both"/>
        <w:rPr>
          <w:rFonts w:ascii="Times New Roman" w:eastAsia="Arial Unicode MS" w:hAnsi="Times New Roman" w:cs="Times New Roman"/>
          <w:b/>
          <w:noProof/>
          <w:kern w:val="1"/>
          <w:sz w:val="24"/>
          <w:szCs w:val="24"/>
          <w:lang w:eastAsia="sk-SK" w:bidi="hi-IN"/>
        </w:rPr>
      </w:pPr>
    </w:p>
    <w:p w14:paraId="13E44219" w14:textId="62471078" w:rsidR="00953564" w:rsidRDefault="00953564" w:rsidP="00111E95">
      <w:pPr>
        <w:spacing w:after="160" w:line="240" w:lineRule="auto"/>
        <w:ind w:firstLine="567"/>
        <w:contextualSpacing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  <w:r w:rsidRPr="00972627"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  <w:t>О Росреестре</w:t>
      </w:r>
    </w:p>
    <w:p w14:paraId="45B95ED0" w14:textId="44EDC31E" w:rsidR="00DE68CB" w:rsidRDefault="0003521A" w:rsidP="004A1EE8">
      <w:pPr>
        <w:widowControl w:val="0"/>
        <w:suppressAutoHyphens/>
        <w:spacing w:before="240" w:after="240" w:line="240" w:lineRule="auto"/>
        <w:jc w:val="both"/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</w:pPr>
      <w:r>
        <w:rPr>
          <w:rFonts w:ascii="Segoe UI" w:eastAsia="Arial Unicode MS" w:hAnsi="Segoe UI" w:cs="Segoe UI"/>
          <w:b/>
          <w:noProof/>
          <w:color w:val="0070C0"/>
          <w:kern w:val="1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73A9407" wp14:editId="751BA213">
                <wp:simplePos x="0" y="0"/>
                <wp:positionH relativeFrom="margin">
                  <wp:posOffset>-36195</wp:posOffset>
                </wp:positionH>
                <wp:positionV relativeFrom="paragraph">
                  <wp:posOffset>26035</wp:posOffset>
                </wp:positionV>
                <wp:extent cx="6245225" cy="45085"/>
                <wp:effectExtent l="0" t="0" r="22225" b="311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5225" cy="4508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7CB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85pt;margin-top:2.05pt;width:491.75pt;height:3.55p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" strokecolor="#0070c0" strokeweight="1.25pt">
                <w10:wrap anchorx="margin"/>
              </v:shape>
            </w:pict>
          </mc:Fallback>
        </mc:AlternateContent>
      </w:r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 w:rsidR="001471AC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ППК</w:t>
      </w:r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 «</w:t>
      </w:r>
      <w:proofErr w:type="spellStart"/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Роскадастр</w:t>
      </w:r>
      <w:proofErr w:type="spellEnd"/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» и ФГБУ «Центр геодезии, картографии и ИПД». </w:t>
      </w:r>
    </w:p>
    <w:sectPr w:rsidR="00DE68CB" w:rsidSect="00D3165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C12251"/>
    <w:multiLevelType w:val="multilevel"/>
    <w:tmpl w:val="4950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0B5F27"/>
    <w:multiLevelType w:val="hybridMultilevel"/>
    <w:tmpl w:val="C126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62592"/>
    <w:multiLevelType w:val="hybridMultilevel"/>
    <w:tmpl w:val="2F2C35D8"/>
    <w:lvl w:ilvl="0" w:tplc="0A34D08C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1EA5"/>
    <w:rsid w:val="000126B0"/>
    <w:rsid w:val="000131CA"/>
    <w:rsid w:val="00013A14"/>
    <w:rsid w:val="000251AE"/>
    <w:rsid w:val="00026426"/>
    <w:rsid w:val="00027E4A"/>
    <w:rsid w:val="00033BD4"/>
    <w:rsid w:val="00034ABA"/>
    <w:rsid w:val="0003521A"/>
    <w:rsid w:val="00045727"/>
    <w:rsid w:val="0006235B"/>
    <w:rsid w:val="00065B3A"/>
    <w:rsid w:val="000716C7"/>
    <w:rsid w:val="00073F4D"/>
    <w:rsid w:val="00083B10"/>
    <w:rsid w:val="00090A9A"/>
    <w:rsid w:val="00094AD3"/>
    <w:rsid w:val="000A553B"/>
    <w:rsid w:val="000A5EB5"/>
    <w:rsid w:val="000B7E69"/>
    <w:rsid w:val="000D1CD0"/>
    <w:rsid w:val="000F0861"/>
    <w:rsid w:val="00100B28"/>
    <w:rsid w:val="00102D89"/>
    <w:rsid w:val="00105240"/>
    <w:rsid w:val="00105CD2"/>
    <w:rsid w:val="00111E95"/>
    <w:rsid w:val="00132E5C"/>
    <w:rsid w:val="00133FEB"/>
    <w:rsid w:val="0014038E"/>
    <w:rsid w:val="001471AC"/>
    <w:rsid w:val="00152677"/>
    <w:rsid w:val="00156D3A"/>
    <w:rsid w:val="0016334F"/>
    <w:rsid w:val="001646D2"/>
    <w:rsid w:val="00164CCC"/>
    <w:rsid w:val="001670AF"/>
    <w:rsid w:val="00170FC8"/>
    <w:rsid w:val="001768B1"/>
    <w:rsid w:val="0018247F"/>
    <w:rsid w:val="001A7F8C"/>
    <w:rsid w:val="001D60DF"/>
    <w:rsid w:val="001E7709"/>
    <w:rsid w:val="001F26A3"/>
    <w:rsid w:val="001F66FF"/>
    <w:rsid w:val="001F6CF1"/>
    <w:rsid w:val="002002D4"/>
    <w:rsid w:val="002053F4"/>
    <w:rsid w:val="00206BC9"/>
    <w:rsid w:val="00215D6E"/>
    <w:rsid w:val="00221EFB"/>
    <w:rsid w:val="00226CFE"/>
    <w:rsid w:val="00235EEF"/>
    <w:rsid w:val="00240DBE"/>
    <w:rsid w:val="00247E92"/>
    <w:rsid w:val="00277D41"/>
    <w:rsid w:val="00283F0F"/>
    <w:rsid w:val="002860BC"/>
    <w:rsid w:val="00290417"/>
    <w:rsid w:val="00294C2C"/>
    <w:rsid w:val="002A1967"/>
    <w:rsid w:val="002A212C"/>
    <w:rsid w:val="002A22CF"/>
    <w:rsid w:val="002A6516"/>
    <w:rsid w:val="002B20E5"/>
    <w:rsid w:val="002B456C"/>
    <w:rsid w:val="002C43C0"/>
    <w:rsid w:val="002C4AF7"/>
    <w:rsid w:val="002D15FB"/>
    <w:rsid w:val="002D2F5C"/>
    <w:rsid w:val="002E2FA3"/>
    <w:rsid w:val="002E7BD6"/>
    <w:rsid w:val="002F164C"/>
    <w:rsid w:val="0030636A"/>
    <w:rsid w:val="003117FD"/>
    <w:rsid w:val="00312400"/>
    <w:rsid w:val="00314843"/>
    <w:rsid w:val="00314881"/>
    <w:rsid w:val="00332D22"/>
    <w:rsid w:val="003348FE"/>
    <w:rsid w:val="00335468"/>
    <w:rsid w:val="0034142F"/>
    <w:rsid w:val="00342587"/>
    <w:rsid w:val="003579D5"/>
    <w:rsid w:val="00360476"/>
    <w:rsid w:val="00373206"/>
    <w:rsid w:val="00375B32"/>
    <w:rsid w:val="003A19C4"/>
    <w:rsid w:val="003A20A8"/>
    <w:rsid w:val="003A63C1"/>
    <w:rsid w:val="003C3AE9"/>
    <w:rsid w:val="003C4A79"/>
    <w:rsid w:val="003D1E62"/>
    <w:rsid w:val="003E22CB"/>
    <w:rsid w:val="004024DB"/>
    <w:rsid w:val="00407F2F"/>
    <w:rsid w:val="00412D54"/>
    <w:rsid w:val="00414594"/>
    <w:rsid w:val="00424A4A"/>
    <w:rsid w:val="004265E9"/>
    <w:rsid w:val="004326D6"/>
    <w:rsid w:val="004722CA"/>
    <w:rsid w:val="004743DD"/>
    <w:rsid w:val="00475A84"/>
    <w:rsid w:val="00476E54"/>
    <w:rsid w:val="00495C8F"/>
    <w:rsid w:val="004977C4"/>
    <w:rsid w:val="00497A63"/>
    <w:rsid w:val="004A1EE8"/>
    <w:rsid w:val="004A4D56"/>
    <w:rsid w:val="004A7D67"/>
    <w:rsid w:val="004B0B01"/>
    <w:rsid w:val="004D2B84"/>
    <w:rsid w:val="004E3DB9"/>
    <w:rsid w:val="004F5E96"/>
    <w:rsid w:val="00501017"/>
    <w:rsid w:val="00516589"/>
    <w:rsid w:val="00522E3A"/>
    <w:rsid w:val="00525084"/>
    <w:rsid w:val="0055096C"/>
    <w:rsid w:val="00561657"/>
    <w:rsid w:val="00580C12"/>
    <w:rsid w:val="005A5C60"/>
    <w:rsid w:val="005C003B"/>
    <w:rsid w:val="005D0C6A"/>
    <w:rsid w:val="005D0D29"/>
    <w:rsid w:val="005D3C00"/>
    <w:rsid w:val="005D46CD"/>
    <w:rsid w:val="005E0023"/>
    <w:rsid w:val="005E5C11"/>
    <w:rsid w:val="005F03EC"/>
    <w:rsid w:val="005F0989"/>
    <w:rsid w:val="005F51EB"/>
    <w:rsid w:val="005F5DEF"/>
    <w:rsid w:val="00600C0C"/>
    <w:rsid w:val="0060458B"/>
    <w:rsid w:val="0061359B"/>
    <w:rsid w:val="00630590"/>
    <w:rsid w:val="00636D69"/>
    <w:rsid w:val="006408C2"/>
    <w:rsid w:val="00652C3F"/>
    <w:rsid w:val="00656913"/>
    <w:rsid w:val="006619F5"/>
    <w:rsid w:val="00676390"/>
    <w:rsid w:val="00676C8D"/>
    <w:rsid w:val="006870E1"/>
    <w:rsid w:val="006919DF"/>
    <w:rsid w:val="00693BC5"/>
    <w:rsid w:val="006C4BBD"/>
    <w:rsid w:val="006D3D56"/>
    <w:rsid w:val="006D7A3F"/>
    <w:rsid w:val="006E0ACB"/>
    <w:rsid w:val="006E49B7"/>
    <w:rsid w:val="006F7C44"/>
    <w:rsid w:val="0070158D"/>
    <w:rsid w:val="0070170B"/>
    <w:rsid w:val="00730B30"/>
    <w:rsid w:val="00736097"/>
    <w:rsid w:val="00747FC3"/>
    <w:rsid w:val="00753593"/>
    <w:rsid w:val="0078594C"/>
    <w:rsid w:val="007B79E5"/>
    <w:rsid w:val="007B7D6A"/>
    <w:rsid w:val="007C14E8"/>
    <w:rsid w:val="007E4699"/>
    <w:rsid w:val="007E6A95"/>
    <w:rsid w:val="007F27BD"/>
    <w:rsid w:val="00811FC8"/>
    <w:rsid w:val="00812D4E"/>
    <w:rsid w:val="00833471"/>
    <w:rsid w:val="00835D33"/>
    <w:rsid w:val="008402C7"/>
    <w:rsid w:val="00843E21"/>
    <w:rsid w:val="0084655B"/>
    <w:rsid w:val="00850313"/>
    <w:rsid w:val="008520EF"/>
    <w:rsid w:val="00856656"/>
    <w:rsid w:val="00871415"/>
    <w:rsid w:val="0089252C"/>
    <w:rsid w:val="008A09A8"/>
    <w:rsid w:val="008A30D6"/>
    <w:rsid w:val="008B315C"/>
    <w:rsid w:val="008B715F"/>
    <w:rsid w:val="008C1579"/>
    <w:rsid w:val="008C183E"/>
    <w:rsid w:val="008C3E4E"/>
    <w:rsid w:val="008E4006"/>
    <w:rsid w:val="008F40AD"/>
    <w:rsid w:val="008F7EED"/>
    <w:rsid w:val="00900A5B"/>
    <w:rsid w:val="00902FB7"/>
    <w:rsid w:val="00910618"/>
    <w:rsid w:val="0091070A"/>
    <w:rsid w:val="00911042"/>
    <w:rsid w:val="0092084C"/>
    <w:rsid w:val="009233FA"/>
    <w:rsid w:val="00926934"/>
    <w:rsid w:val="009313F1"/>
    <w:rsid w:val="00933E89"/>
    <w:rsid w:val="00940507"/>
    <w:rsid w:val="00946284"/>
    <w:rsid w:val="00953564"/>
    <w:rsid w:val="009544EF"/>
    <w:rsid w:val="00956F5C"/>
    <w:rsid w:val="00973CF6"/>
    <w:rsid w:val="009776D2"/>
    <w:rsid w:val="00980AC6"/>
    <w:rsid w:val="00986EDE"/>
    <w:rsid w:val="00991593"/>
    <w:rsid w:val="009941FC"/>
    <w:rsid w:val="00995DBA"/>
    <w:rsid w:val="009B2781"/>
    <w:rsid w:val="009B34A3"/>
    <w:rsid w:val="009B5AC5"/>
    <w:rsid w:val="009C3468"/>
    <w:rsid w:val="009E27FF"/>
    <w:rsid w:val="009F1D68"/>
    <w:rsid w:val="00A01283"/>
    <w:rsid w:val="00A0646A"/>
    <w:rsid w:val="00A1228B"/>
    <w:rsid w:val="00A12767"/>
    <w:rsid w:val="00A23BEF"/>
    <w:rsid w:val="00A30617"/>
    <w:rsid w:val="00A33D74"/>
    <w:rsid w:val="00A36C70"/>
    <w:rsid w:val="00A371C1"/>
    <w:rsid w:val="00A449FA"/>
    <w:rsid w:val="00A44AE7"/>
    <w:rsid w:val="00A453D5"/>
    <w:rsid w:val="00A90165"/>
    <w:rsid w:val="00A91DD2"/>
    <w:rsid w:val="00A933F2"/>
    <w:rsid w:val="00A95341"/>
    <w:rsid w:val="00A95EEE"/>
    <w:rsid w:val="00A95FF9"/>
    <w:rsid w:val="00A96939"/>
    <w:rsid w:val="00AB5E6D"/>
    <w:rsid w:val="00AC2B0C"/>
    <w:rsid w:val="00AC53F4"/>
    <w:rsid w:val="00AF5544"/>
    <w:rsid w:val="00AF5923"/>
    <w:rsid w:val="00AF72AE"/>
    <w:rsid w:val="00B05996"/>
    <w:rsid w:val="00B05ACF"/>
    <w:rsid w:val="00B11065"/>
    <w:rsid w:val="00B1371F"/>
    <w:rsid w:val="00B14873"/>
    <w:rsid w:val="00B14BC1"/>
    <w:rsid w:val="00B16F66"/>
    <w:rsid w:val="00B1763D"/>
    <w:rsid w:val="00B206D1"/>
    <w:rsid w:val="00B21E3D"/>
    <w:rsid w:val="00B340EE"/>
    <w:rsid w:val="00B40160"/>
    <w:rsid w:val="00B4635C"/>
    <w:rsid w:val="00B66234"/>
    <w:rsid w:val="00B72439"/>
    <w:rsid w:val="00B7659F"/>
    <w:rsid w:val="00B92C8D"/>
    <w:rsid w:val="00B964D4"/>
    <w:rsid w:val="00B967AE"/>
    <w:rsid w:val="00BA4C3D"/>
    <w:rsid w:val="00BB119A"/>
    <w:rsid w:val="00BC54CE"/>
    <w:rsid w:val="00BC64CE"/>
    <w:rsid w:val="00BD023B"/>
    <w:rsid w:val="00BD2A3D"/>
    <w:rsid w:val="00BD4666"/>
    <w:rsid w:val="00BF2F90"/>
    <w:rsid w:val="00C02E7E"/>
    <w:rsid w:val="00C03E02"/>
    <w:rsid w:val="00C21FA7"/>
    <w:rsid w:val="00C24313"/>
    <w:rsid w:val="00C26ABA"/>
    <w:rsid w:val="00C371ED"/>
    <w:rsid w:val="00C40A65"/>
    <w:rsid w:val="00C4573B"/>
    <w:rsid w:val="00C45C88"/>
    <w:rsid w:val="00C5558B"/>
    <w:rsid w:val="00C569D7"/>
    <w:rsid w:val="00C57947"/>
    <w:rsid w:val="00C65D73"/>
    <w:rsid w:val="00C7325D"/>
    <w:rsid w:val="00C7492B"/>
    <w:rsid w:val="00C74AE5"/>
    <w:rsid w:val="00C81413"/>
    <w:rsid w:val="00C84E74"/>
    <w:rsid w:val="00C87839"/>
    <w:rsid w:val="00C903DE"/>
    <w:rsid w:val="00C913F5"/>
    <w:rsid w:val="00CB3098"/>
    <w:rsid w:val="00CB6773"/>
    <w:rsid w:val="00CE3708"/>
    <w:rsid w:val="00CE71DB"/>
    <w:rsid w:val="00CF2997"/>
    <w:rsid w:val="00CF5602"/>
    <w:rsid w:val="00D0071F"/>
    <w:rsid w:val="00D10BA5"/>
    <w:rsid w:val="00D171F7"/>
    <w:rsid w:val="00D30FFB"/>
    <w:rsid w:val="00D3165C"/>
    <w:rsid w:val="00D33834"/>
    <w:rsid w:val="00D35308"/>
    <w:rsid w:val="00D67E85"/>
    <w:rsid w:val="00D72CD0"/>
    <w:rsid w:val="00D74E85"/>
    <w:rsid w:val="00D97FA9"/>
    <w:rsid w:val="00DA5272"/>
    <w:rsid w:val="00DB7C6E"/>
    <w:rsid w:val="00DC1A35"/>
    <w:rsid w:val="00DE3BE8"/>
    <w:rsid w:val="00DE68CB"/>
    <w:rsid w:val="00DF02F6"/>
    <w:rsid w:val="00E2609E"/>
    <w:rsid w:val="00E34735"/>
    <w:rsid w:val="00E352F0"/>
    <w:rsid w:val="00E36A02"/>
    <w:rsid w:val="00E42A7C"/>
    <w:rsid w:val="00E5051A"/>
    <w:rsid w:val="00E52806"/>
    <w:rsid w:val="00E645F7"/>
    <w:rsid w:val="00E657EA"/>
    <w:rsid w:val="00E826F2"/>
    <w:rsid w:val="00E8694D"/>
    <w:rsid w:val="00E9072E"/>
    <w:rsid w:val="00E9176E"/>
    <w:rsid w:val="00E9267A"/>
    <w:rsid w:val="00E932E1"/>
    <w:rsid w:val="00E93FE4"/>
    <w:rsid w:val="00EA3288"/>
    <w:rsid w:val="00EB3772"/>
    <w:rsid w:val="00EC490F"/>
    <w:rsid w:val="00EC7C8C"/>
    <w:rsid w:val="00EC7D1C"/>
    <w:rsid w:val="00ED0BFC"/>
    <w:rsid w:val="00ED215D"/>
    <w:rsid w:val="00ED7B52"/>
    <w:rsid w:val="00EF2A62"/>
    <w:rsid w:val="00EF2B1A"/>
    <w:rsid w:val="00F01EE4"/>
    <w:rsid w:val="00F045AE"/>
    <w:rsid w:val="00F064A4"/>
    <w:rsid w:val="00F22765"/>
    <w:rsid w:val="00F26CD0"/>
    <w:rsid w:val="00F33E94"/>
    <w:rsid w:val="00F41282"/>
    <w:rsid w:val="00F52E7B"/>
    <w:rsid w:val="00F63D43"/>
    <w:rsid w:val="00F67680"/>
    <w:rsid w:val="00F67F24"/>
    <w:rsid w:val="00F81181"/>
    <w:rsid w:val="00F81BD5"/>
    <w:rsid w:val="00F85267"/>
    <w:rsid w:val="00F92E2A"/>
    <w:rsid w:val="00F93AAB"/>
    <w:rsid w:val="00FA5696"/>
    <w:rsid w:val="00FA7D14"/>
    <w:rsid w:val="00FB50CE"/>
    <w:rsid w:val="00FB7E84"/>
    <w:rsid w:val="00FC6F1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75B32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525084"/>
    <w:rPr>
      <w:b/>
      <w:bCs/>
    </w:rPr>
  </w:style>
  <w:style w:type="paragraph" w:styleId="af">
    <w:name w:val="Normal (Web)"/>
    <w:basedOn w:val="a"/>
    <w:uiPriority w:val="99"/>
    <w:unhideWhenUsed/>
    <w:rsid w:val="00D67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49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05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5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08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4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8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32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956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11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660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2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92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535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99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554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8221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9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26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5press_rosreestr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Кошель Ольга Андреевна</cp:lastModifiedBy>
  <cp:revision>58</cp:revision>
  <cp:lastPrinted>2021-04-20T16:11:00Z</cp:lastPrinted>
  <dcterms:created xsi:type="dcterms:W3CDTF">2023-08-08T01:35:00Z</dcterms:created>
  <dcterms:modified xsi:type="dcterms:W3CDTF">2024-10-03T00:28:00Z</dcterms:modified>
</cp:coreProperties>
</file>