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предотвращение распространения коронавирусной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53533791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CE3AE6">
        <w:t>8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2F67D11C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18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6BFA091B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CE3AE6">
              <w:t>56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7C8B58C7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1DB5EC1E" w14:textId="26B8B632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593807D5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2</w:t>
            </w:r>
          </w:p>
        </w:tc>
        <w:tc>
          <w:tcPr>
            <w:tcW w:w="2118" w:type="dxa"/>
            <w:vAlign w:val="center"/>
          </w:tcPr>
          <w:p w14:paraId="06CB191D" w14:textId="112744F5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88</w:t>
            </w:r>
            <w:r w:rsidR="004A2843" w:rsidRPr="00423A7C">
              <w:t>/</w:t>
            </w:r>
            <w:r w:rsidR="00866202">
              <w:t>4</w:t>
            </w:r>
            <w:r>
              <w:t>5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1DEF7B49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7B00FAFC" w14:textId="09B2083A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1E09FFE4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2118" w:type="dxa"/>
            <w:vAlign w:val="center"/>
          </w:tcPr>
          <w:p w14:paraId="318D0DCD" w14:textId="03A8FCEB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F37C90">
              <w:t>4</w:t>
            </w:r>
            <w:r w:rsidR="00CE3AE6">
              <w:t>9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3EE2CACE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C07F994" w14:textId="7C26950B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036C71D9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3</w:t>
            </w:r>
          </w:p>
        </w:tc>
        <w:tc>
          <w:tcPr>
            <w:tcW w:w="2118" w:type="dxa"/>
            <w:vAlign w:val="center"/>
          </w:tcPr>
          <w:p w14:paraId="5025E524" w14:textId="3BE3F208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5</w:t>
            </w:r>
            <w:r w:rsidR="00CE3AE6">
              <w:t>6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6CFEF807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5CE7757B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10</w:t>
            </w:r>
            <w:r w:rsidR="00CE3AE6">
              <w:t>1</w:t>
            </w:r>
            <w:r w:rsidR="00F37C90">
              <w:t>9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29AE4FC5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E3AE6">
              <w:t>93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21308266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CE3AE6">
              <w:t>1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7B7B71C7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866202">
              <w:t>1</w:t>
            </w:r>
            <w:r w:rsidR="00CE3AE6">
              <w:t>4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3A275D67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CB27C7">
              <w:t>6</w:t>
            </w:r>
            <w:r w:rsidR="00CE3AE6">
              <w:t>7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37ED06AB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02310D">
              <w:t>2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>лактики коронавирусной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0EFF962A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02310D">
              <w:t>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23D5197D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02310D">
              <w:t>1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4369E021" w:rsidR="004A2843" w:rsidRPr="00423A7C" w:rsidRDefault="0002310D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0925EE">
              <w:t>3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05DBE3DF" w:rsidR="004A2843" w:rsidRPr="00423A7C" w:rsidRDefault="0002310D" w:rsidP="00763EA5">
            <w:pPr>
              <w:tabs>
                <w:tab w:val="left" w:pos="3270"/>
              </w:tabs>
              <w:jc w:val="center"/>
            </w:pPr>
            <w:r>
              <w:t>38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>публикации о необходимости соблюдения требований режима повышенной готовности, профилактики коронавирусной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5368D3AA" w:rsidR="004A2843" w:rsidRPr="00423A7C" w:rsidRDefault="0002310D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693A74E7" w:rsidR="004A2843" w:rsidRPr="00423A7C" w:rsidRDefault="0002310D" w:rsidP="00763EA5">
            <w:pPr>
              <w:tabs>
                <w:tab w:val="left" w:pos="3270"/>
              </w:tabs>
              <w:jc w:val="center"/>
            </w:pPr>
            <w:r>
              <w:t>22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22065D46" w:rsidR="004A2843" w:rsidRPr="00423A7C" w:rsidRDefault="0002310D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30868967" w:rsidR="004A2843" w:rsidRPr="00423A7C" w:rsidRDefault="007D5EF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02310D">
              <w:t>6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1ED9FCB7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EC450D">
              <w:t>8</w:t>
            </w:r>
          </w:p>
        </w:tc>
        <w:tc>
          <w:tcPr>
            <w:tcW w:w="2118" w:type="dxa"/>
            <w:vAlign w:val="center"/>
          </w:tcPr>
          <w:p w14:paraId="1D5EAC8E" w14:textId="4C821E4E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F37C90">
              <w:t>1</w:t>
            </w:r>
            <w:r w:rsidR="00EC450D">
              <w:t>8</w:t>
            </w:r>
            <w:r w:rsidR="00F37C90">
              <w:t>00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26FE0CB5" w:rsidR="004A2843" w:rsidRPr="00423A7C" w:rsidRDefault="00F37C90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68A9385C" w:rsidR="004A2843" w:rsidRPr="00423A7C" w:rsidRDefault="00CE3AE6" w:rsidP="00763EA5">
            <w:pPr>
              <w:tabs>
                <w:tab w:val="left" w:pos="3270"/>
              </w:tabs>
              <w:jc w:val="center"/>
            </w:pPr>
            <w:r>
              <w:t>48</w:t>
            </w:r>
            <w:r w:rsidR="004A2843">
              <w:t>/</w:t>
            </w:r>
            <w:r w:rsidR="00FE36B8">
              <w:t>4</w:t>
            </w:r>
            <w:r w:rsidR="00F37C90"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D889B" w14:textId="77777777" w:rsidR="00CD6BC6" w:rsidRDefault="00CD6BC6" w:rsidP="005852E4">
      <w:r>
        <w:separator/>
      </w:r>
    </w:p>
  </w:endnote>
  <w:endnote w:type="continuationSeparator" w:id="0">
    <w:p w14:paraId="4CEC3FB3" w14:textId="77777777" w:rsidR="00CD6BC6" w:rsidRDefault="00CD6BC6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2DFAA" w14:textId="77777777" w:rsidR="00CD6BC6" w:rsidRDefault="00CD6BC6" w:rsidP="005852E4">
      <w:r>
        <w:separator/>
      </w:r>
    </w:p>
  </w:footnote>
  <w:footnote w:type="continuationSeparator" w:id="0">
    <w:p w14:paraId="6A157052" w14:textId="77777777" w:rsidR="00CD6BC6" w:rsidRDefault="00CD6BC6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02A9A"/>
    <w:rsid w:val="00016460"/>
    <w:rsid w:val="0002310D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5EE"/>
    <w:rsid w:val="00092698"/>
    <w:rsid w:val="000A48B1"/>
    <w:rsid w:val="000A5001"/>
    <w:rsid w:val="000B4EAA"/>
    <w:rsid w:val="000C4536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819"/>
    <w:rsid w:val="00294EC7"/>
    <w:rsid w:val="002B202A"/>
    <w:rsid w:val="002C1CBE"/>
    <w:rsid w:val="002C722A"/>
    <w:rsid w:val="002D387C"/>
    <w:rsid w:val="002D6D1C"/>
    <w:rsid w:val="002E035B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C74D6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36544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D5EF4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27C7"/>
    <w:rsid w:val="00CB510A"/>
    <w:rsid w:val="00CB6FF3"/>
    <w:rsid w:val="00CC05D1"/>
    <w:rsid w:val="00CD6BC6"/>
    <w:rsid w:val="00CE3AE6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450D"/>
    <w:rsid w:val="00EC5557"/>
    <w:rsid w:val="00EC665B"/>
    <w:rsid w:val="00EC6C52"/>
    <w:rsid w:val="00ED1A9B"/>
    <w:rsid w:val="00ED51F3"/>
    <w:rsid w:val="00ED5968"/>
    <w:rsid w:val="00ED6EA0"/>
    <w:rsid w:val="00ED7126"/>
    <w:rsid w:val="00ED77BA"/>
    <w:rsid w:val="00EE2C3E"/>
    <w:rsid w:val="00EE3B2B"/>
    <w:rsid w:val="00EE6B99"/>
    <w:rsid w:val="00EF7F5A"/>
    <w:rsid w:val="00F04D22"/>
    <w:rsid w:val="00F1090D"/>
    <w:rsid w:val="00F10BC0"/>
    <w:rsid w:val="00F24F49"/>
    <w:rsid w:val="00F252D3"/>
    <w:rsid w:val="00F31988"/>
    <w:rsid w:val="00F37C90"/>
    <w:rsid w:val="00F411A7"/>
    <w:rsid w:val="00F4135B"/>
    <w:rsid w:val="00F502F6"/>
    <w:rsid w:val="00F51C2E"/>
    <w:rsid w:val="00F664FD"/>
    <w:rsid w:val="00F80B60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34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Verbinskaya</cp:lastModifiedBy>
  <cp:revision>4</cp:revision>
  <cp:lastPrinted>2020-07-28T23:14:00Z</cp:lastPrinted>
  <dcterms:created xsi:type="dcterms:W3CDTF">2020-07-28T23:13:00Z</dcterms:created>
  <dcterms:modified xsi:type="dcterms:W3CDTF">2020-07-28T23:32:00Z</dcterms:modified>
</cp:coreProperties>
</file>