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B0" w:rsidRDefault="00465EB0" w:rsidP="00465EB0">
      <w:pPr>
        <w:jc w:val="both"/>
        <w:rPr>
          <w:sz w:val="26"/>
          <w:szCs w:val="26"/>
        </w:rPr>
      </w:pPr>
    </w:p>
    <w:p w:rsidR="00465EB0" w:rsidRDefault="00465EB0" w:rsidP="00465EB0">
      <w:pPr>
        <w:jc w:val="center"/>
      </w:pPr>
    </w:p>
    <w:p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09F4EA" wp14:editId="6005A20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B0" w:rsidRDefault="00465EB0" w:rsidP="00465EB0">
      <w:pPr>
        <w:jc w:val="center"/>
      </w:pPr>
    </w:p>
    <w:p w:rsidR="00465EB0" w:rsidRDefault="00465EB0" w:rsidP="00465EB0">
      <w:pPr>
        <w:jc w:val="center"/>
      </w:pPr>
    </w:p>
    <w:p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:rsidR="00465EB0" w:rsidRDefault="00465EB0" w:rsidP="00465E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65EB0" w:rsidRPr="009A49E4" w:rsidTr="00E7289D">
        <w:trPr>
          <w:trHeight w:val="631"/>
        </w:trPr>
        <w:tc>
          <w:tcPr>
            <w:tcW w:w="9571" w:type="dxa"/>
          </w:tcPr>
          <w:p w:rsidR="00465EB0" w:rsidRDefault="00465EB0" w:rsidP="00E7289D">
            <w:pPr>
              <w:jc w:val="center"/>
              <w:rPr>
                <w:b/>
                <w:sz w:val="26"/>
                <w:szCs w:val="26"/>
              </w:rPr>
            </w:pPr>
          </w:p>
          <w:p w:rsidR="00465EB0" w:rsidRPr="00E9239E" w:rsidRDefault="00465EB0" w:rsidP="00465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</w:t>
            </w:r>
            <w:r w:rsidRPr="00E9239E">
              <w:rPr>
                <w:b/>
                <w:sz w:val="26"/>
                <w:szCs w:val="26"/>
              </w:rPr>
              <w:t xml:space="preserve"> </w:t>
            </w:r>
            <w:r w:rsidRPr="00E9239E">
              <w:rPr>
                <w:sz w:val="26"/>
                <w:szCs w:val="26"/>
              </w:rPr>
              <w:t xml:space="preserve"> </w:t>
            </w:r>
            <w:r w:rsidRPr="00E9239E">
              <w:rPr>
                <w:b/>
                <w:sz w:val="26"/>
                <w:szCs w:val="26"/>
              </w:rPr>
              <w:t xml:space="preserve">о денежном вознаграждении </w:t>
            </w:r>
          </w:p>
          <w:p w:rsidR="00465EB0" w:rsidRPr="00E9239E" w:rsidRDefault="00465EB0" w:rsidP="00465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239E">
              <w:rPr>
                <w:b/>
                <w:sz w:val="26"/>
                <w:szCs w:val="26"/>
              </w:rPr>
              <w:t>главы Чугуевского муниципального округа</w:t>
            </w:r>
          </w:p>
          <w:p w:rsidR="00465EB0" w:rsidRPr="00852475" w:rsidRDefault="00465EB0" w:rsidP="00E728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5EB0" w:rsidRPr="0008457E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:rsidR="00465EB0" w:rsidRPr="0008457E" w:rsidRDefault="00465EB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«28» </w:t>
      </w:r>
      <w:r w:rsidRPr="0008457E">
        <w:rPr>
          <w:b/>
        </w:rPr>
        <w:t>августа 2020 года</w:t>
      </w:r>
    </w:p>
    <w:p w:rsidR="00465EB0" w:rsidRDefault="00465EB0" w:rsidP="004A08C6">
      <w:pPr>
        <w:spacing w:line="360" w:lineRule="auto"/>
        <w:jc w:val="both"/>
        <w:rPr>
          <w:sz w:val="26"/>
          <w:szCs w:val="26"/>
        </w:rPr>
      </w:pPr>
    </w:p>
    <w:p w:rsidR="004A08C6" w:rsidRPr="004A08C6" w:rsidRDefault="004A08C6" w:rsidP="004A08C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A08C6">
        <w:rPr>
          <w:b/>
          <w:sz w:val="26"/>
          <w:szCs w:val="26"/>
        </w:rPr>
        <w:t xml:space="preserve">Статья 1. </w:t>
      </w:r>
    </w:p>
    <w:p w:rsidR="004A08C6" w:rsidRDefault="004A08C6" w:rsidP="004A08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Утвердить прилагаемое </w:t>
      </w:r>
      <w:r w:rsidR="00A366A3">
        <w:rPr>
          <w:sz w:val="26"/>
          <w:szCs w:val="26"/>
        </w:rPr>
        <w:t>«</w:t>
      </w:r>
      <w:r w:rsidRPr="004A08C6">
        <w:rPr>
          <w:sz w:val="26"/>
          <w:szCs w:val="26"/>
        </w:rPr>
        <w:t>Положение  о денежном вознаграждении главы Чугуевского муниципального округа</w:t>
      </w:r>
      <w:r w:rsidR="00A366A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12A01" w:rsidRDefault="004A08C6" w:rsidP="004A08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08C6" w:rsidRDefault="004A08C6" w:rsidP="005A5BC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A08C6">
        <w:rPr>
          <w:b/>
          <w:sz w:val="26"/>
          <w:szCs w:val="26"/>
        </w:rPr>
        <w:t>Статья 2.</w:t>
      </w:r>
    </w:p>
    <w:p w:rsidR="00312A01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</w:t>
      </w:r>
      <w:r w:rsidRPr="00312A01">
        <w:rPr>
          <w:rFonts w:ascii="Times New Roman" w:hAnsi="Times New Roman"/>
          <w:sz w:val="26"/>
          <w:szCs w:val="26"/>
        </w:rPr>
        <w:t xml:space="preserve">изнать утратившими силу </w:t>
      </w:r>
      <w:r>
        <w:rPr>
          <w:rFonts w:ascii="Times New Roman" w:hAnsi="Times New Roman"/>
          <w:sz w:val="26"/>
          <w:szCs w:val="26"/>
        </w:rPr>
        <w:t>р</w:t>
      </w:r>
      <w:r w:rsidRPr="00312A01">
        <w:rPr>
          <w:rFonts w:ascii="Times New Roman" w:hAnsi="Times New Roman"/>
          <w:sz w:val="26"/>
          <w:szCs w:val="26"/>
        </w:rPr>
        <w:t>ешение Думы Чугуевского муниципального района от 26 сентября 2008 года № 747-НПА «О размерах и условиях оплаты труда выборных должностных лиц органов местного самоуправления в Чугуевском муниципальном района» (в редакции решений от 04.06.2009 № 869-НПА, 07.10.2011 № 145-НПА, 23.10.2012 № 244-НПА, 30.09.2013 № 354-НПА, 09.12.2014 № 479-НПА, 26.12.2014 № 543-НПА, 29.04.2015 № 589-НПА, 03.11.2016 № 132-НПА, 25.12.2017 № 299-НПА, 27.12.2018 № 411-НПА, 29.10.2019 № 490-НПА).</w:t>
      </w:r>
      <w:proofErr w:type="gramEnd"/>
    </w:p>
    <w:p w:rsidR="00312A01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 xml:space="preserve"> </w:t>
      </w:r>
    </w:p>
    <w:p w:rsid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 xml:space="preserve"> </w:t>
      </w:r>
      <w:r w:rsidRPr="00312A01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312A01">
        <w:rPr>
          <w:rFonts w:ascii="Times New Roman" w:hAnsi="Times New Roman"/>
          <w:b/>
          <w:bCs/>
          <w:sz w:val="26"/>
          <w:szCs w:val="26"/>
        </w:rPr>
        <w:t>.</w:t>
      </w:r>
      <w:r w:rsidRPr="00312A01">
        <w:rPr>
          <w:rFonts w:ascii="Times New Roman" w:hAnsi="Times New Roman"/>
          <w:b/>
          <w:sz w:val="26"/>
          <w:szCs w:val="26"/>
        </w:rPr>
        <w:t xml:space="preserve"> </w:t>
      </w:r>
    </w:p>
    <w:p w:rsidR="00312A01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>3.1. Настоящее решение вступает в силу со дня вступления в должность главы Чугуевского муниципального округа.</w:t>
      </w:r>
    </w:p>
    <w:p w:rsidR="00312A01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12A01">
        <w:rPr>
          <w:rFonts w:ascii="Times New Roman" w:hAnsi="Times New Roman"/>
          <w:sz w:val="26"/>
          <w:szCs w:val="26"/>
        </w:rPr>
        <w:t xml:space="preserve">2. Начисление и выплату денежного содержания главе Чугуевского муниципального округа до формирования администрации Чугуевского </w:t>
      </w:r>
      <w:r w:rsidRPr="00312A01">
        <w:rPr>
          <w:rFonts w:ascii="Times New Roman" w:hAnsi="Times New Roman"/>
          <w:sz w:val="26"/>
          <w:szCs w:val="26"/>
        </w:rPr>
        <w:lastRenderedPageBreak/>
        <w:t xml:space="preserve">муниципального округа осуществляет администрация Чугуевского муниципального района. </w:t>
      </w:r>
    </w:p>
    <w:p w:rsidR="00312A01" w:rsidRPr="00312A01" w:rsidRDefault="00CA345B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12A01" w:rsidRPr="00312A01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опубликованию.</w:t>
      </w:r>
    </w:p>
    <w:p w:rsidR="004A08C6" w:rsidRPr="00312A01" w:rsidRDefault="004A08C6" w:rsidP="005A5BC5">
      <w:pPr>
        <w:spacing w:line="360" w:lineRule="auto"/>
        <w:ind w:firstLine="709"/>
        <w:jc w:val="both"/>
        <w:rPr>
          <w:sz w:val="26"/>
          <w:szCs w:val="26"/>
        </w:rPr>
      </w:pPr>
    </w:p>
    <w:p w:rsidR="00CA345B" w:rsidRDefault="00CA345B" w:rsidP="00CA345B">
      <w:pPr>
        <w:ind w:firstLine="708"/>
        <w:jc w:val="both"/>
        <w:rPr>
          <w:sz w:val="26"/>
          <w:szCs w:val="26"/>
        </w:rPr>
      </w:pPr>
    </w:p>
    <w:p w:rsidR="005A5BC5" w:rsidRDefault="005A5BC5" w:rsidP="00CA345B">
      <w:pPr>
        <w:ind w:firstLine="708"/>
        <w:jc w:val="both"/>
        <w:rPr>
          <w:sz w:val="26"/>
          <w:szCs w:val="26"/>
        </w:rPr>
      </w:pPr>
    </w:p>
    <w:p w:rsidR="005A5BC5" w:rsidRDefault="005A5BC5" w:rsidP="00CA345B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CA345B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A345B" w:rsidRPr="00353ECC" w:rsidRDefault="00CA345B" w:rsidP="00E7289D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Глава Чугуевского </w:t>
            </w:r>
          </w:p>
          <w:p w:rsidR="00CA345B" w:rsidRPr="00353ECC" w:rsidRDefault="00CA345B" w:rsidP="00A3684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муниципального </w:t>
            </w:r>
            <w:r w:rsidR="00A36843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A345B" w:rsidRPr="00353ECC" w:rsidRDefault="00CA345B" w:rsidP="00E7289D">
            <w:pPr>
              <w:jc w:val="center"/>
              <w:rPr>
                <w:noProof/>
              </w:rPr>
            </w:pPr>
          </w:p>
          <w:p w:rsidR="00CA345B" w:rsidRPr="00353ECC" w:rsidRDefault="00CA345B" w:rsidP="00E7289D">
            <w:pPr>
              <w:jc w:val="center"/>
            </w:pPr>
          </w:p>
          <w:p w:rsidR="00CA345B" w:rsidRPr="00353ECC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:rsidR="00CA345B" w:rsidRPr="00353ECC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Деменев</w:t>
            </w:r>
          </w:p>
        </w:tc>
      </w:tr>
    </w:tbl>
    <w:p w:rsidR="00CA345B" w:rsidRDefault="00CA345B" w:rsidP="00CA345B">
      <w:pPr>
        <w:ind w:firstLine="708"/>
        <w:jc w:val="both"/>
        <w:rPr>
          <w:sz w:val="26"/>
          <w:szCs w:val="26"/>
        </w:rPr>
      </w:pPr>
    </w:p>
    <w:p w:rsidR="004A08C6" w:rsidRDefault="004A08C6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D6411B" w:rsidRPr="00806E87" w:rsidRDefault="00D6411B" w:rsidP="00D6411B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F12B66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806E87">
        <w:rPr>
          <w:b/>
          <w:sz w:val="26"/>
          <w:szCs w:val="26"/>
          <w:u w:val="single"/>
        </w:rPr>
        <w:t>» сентября 2020г.</w:t>
      </w:r>
    </w:p>
    <w:p w:rsidR="00D6411B" w:rsidRPr="00806E87" w:rsidRDefault="00D6411B" w:rsidP="00D6411B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84</w:t>
      </w:r>
      <w:r w:rsidRPr="00806E87">
        <w:rPr>
          <w:b/>
          <w:sz w:val="26"/>
          <w:szCs w:val="26"/>
          <w:u w:val="single"/>
        </w:rPr>
        <w:t xml:space="preserve">– НПА </w:t>
      </w: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4A08C6">
      <w:pPr>
        <w:ind w:firstLine="567"/>
        <w:jc w:val="both"/>
      </w:pPr>
    </w:p>
    <w:p w:rsidR="00CA345B" w:rsidRDefault="00CA345B" w:rsidP="00CA345B">
      <w:pPr>
        <w:ind w:firstLine="567"/>
        <w:jc w:val="right"/>
      </w:pPr>
      <w:r>
        <w:lastRenderedPageBreak/>
        <w:t>УТВЕРЖДЕНО</w:t>
      </w:r>
    </w:p>
    <w:p w:rsidR="00CA345B" w:rsidRDefault="00CA345B" w:rsidP="00CA345B">
      <w:pPr>
        <w:ind w:firstLine="567"/>
        <w:jc w:val="right"/>
      </w:pPr>
      <w:r>
        <w:t xml:space="preserve">Решением Думы </w:t>
      </w:r>
    </w:p>
    <w:p w:rsidR="00CA345B" w:rsidRDefault="00CA345B" w:rsidP="00CA345B">
      <w:pPr>
        <w:ind w:firstLine="567"/>
        <w:jc w:val="right"/>
      </w:pPr>
      <w:r>
        <w:t xml:space="preserve">Чугуевского муниципального округа </w:t>
      </w:r>
    </w:p>
    <w:p w:rsidR="00CA345B" w:rsidRDefault="00CA345B" w:rsidP="00CA345B">
      <w:pPr>
        <w:ind w:firstLine="567"/>
        <w:jc w:val="right"/>
      </w:pPr>
      <w:r>
        <w:t xml:space="preserve">от </w:t>
      </w:r>
      <w:r w:rsidR="00D6411B">
        <w:t>07.09.2020г. № 84</w:t>
      </w:r>
      <w:r>
        <w:t>-НПА</w:t>
      </w:r>
      <w:r w:rsidR="00D6411B">
        <w:t xml:space="preserve"> </w:t>
      </w:r>
    </w:p>
    <w:p w:rsidR="00CA345B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345B" w:rsidRPr="00E9239E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  <w:r w:rsidRPr="00E9239E">
        <w:rPr>
          <w:b/>
          <w:sz w:val="26"/>
          <w:szCs w:val="26"/>
        </w:rPr>
        <w:t xml:space="preserve"> </w:t>
      </w:r>
      <w:r w:rsidRPr="00E9239E">
        <w:rPr>
          <w:sz w:val="26"/>
          <w:szCs w:val="26"/>
        </w:rPr>
        <w:t xml:space="preserve"> </w:t>
      </w:r>
      <w:r w:rsidRPr="00E9239E">
        <w:rPr>
          <w:b/>
          <w:sz w:val="26"/>
          <w:szCs w:val="26"/>
        </w:rPr>
        <w:t xml:space="preserve">о денежном вознаграждении </w:t>
      </w:r>
    </w:p>
    <w:p w:rsidR="00CA345B" w:rsidRPr="00E9239E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239E">
        <w:rPr>
          <w:b/>
          <w:sz w:val="26"/>
          <w:szCs w:val="26"/>
        </w:rPr>
        <w:t>главы Чугуевского муниципального округа</w:t>
      </w:r>
    </w:p>
    <w:p w:rsidR="004A08C6" w:rsidRDefault="004A08C6" w:rsidP="004A08C6">
      <w:pPr>
        <w:ind w:firstLine="567"/>
        <w:jc w:val="center"/>
      </w:pPr>
    </w:p>
    <w:p w:rsidR="004A08C6" w:rsidRDefault="004A08C6" w:rsidP="004A08C6">
      <w:pPr>
        <w:ind w:firstLine="567"/>
        <w:jc w:val="center"/>
      </w:pPr>
    </w:p>
    <w:p w:rsidR="004A08C6" w:rsidRPr="00CA345B" w:rsidRDefault="004A08C6" w:rsidP="004A08C6">
      <w:pPr>
        <w:pStyle w:val="Style14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A345B">
        <w:rPr>
          <w:rStyle w:val="FontStyle29"/>
          <w:b/>
          <w:bCs/>
          <w:iCs/>
        </w:rPr>
        <w:t>1. Общие положения</w:t>
      </w:r>
    </w:p>
    <w:p w:rsidR="004A08C6" w:rsidRPr="00CA345B" w:rsidRDefault="004A08C6" w:rsidP="008A64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345B">
        <w:rPr>
          <w:rStyle w:val="FontStyle29"/>
        </w:rPr>
        <w:t xml:space="preserve">Настоящее Положение разработано в </w:t>
      </w:r>
      <w:r w:rsidRPr="00CA345B">
        <w:rPr>
          <w:rFonts w:ascii="Times New Roman" w:hAnsi="Times New Roman" w:cs="Times New Roman"/>
          <w:sz w:val="26"/>
          <w:szCs w:val="26"/>
          <w:lang w:eastAsia="ru-RU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крае».</w:t>
      </w:r>
      <w:proofErr w:type="gramEnd"/>
    </w:p>
    <w:p w:rsidR="004A08C6" w:rsidRPr="00CA345B" w:rsidRDefault="004A08C6" w:rsidP="004A08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08C6" w:rsidRPr="00CA345B" w:rsidRDefault="004A08C6" w:rsidP="004A08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08C6" w:rsidRPr="00CA345B" w:rsidRDefault="004A08C6" w:rsidP="00CA345B">
      <w:pPr>
        <w:pStyle w:val="Style15"/>
        <w:tabs>
          <w:tab w:val="left" w:pos="-2127"/>
        </w:tabs>
        <w:spacing w:line="360" w:lineRule="auto"/>
        <w:ind w:firstLine="567"/>
        <w:jc w:val="center"/>
        <w:rPr>
          <w:rStyle w:val="FontStyle29"/>
          <w:b/>
        </w:rPr>
      </w:pPr>
      <w:r w:rsidRPr="00CA345B">
        <w:rPr>
          <w:rStyle w:val="FontStyle29"/>
          <w:b/>
        </w:rPr>
        <w:t>2. Общие принципы оплаты труда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>
        <w:rPr>
          <w:rStyle w:val="FontStyle29"/>
        </w:rPr>
        <w:tab/>
        <w:t>2.</w:t>
      </w:r>
      <w:r w:rsidR="004A08C6" w:rsidRPr="00CA345B">
        <w:rPr>
          <w:rStyle w:val="FontStyle29"/>
        </w:rPr>
        <w:t>1. Оплата труда главы Чугуевского муниципального округа (далее - лица, замещающего муниципальную должность), складывается из ежемесячного денежного вознаграждения и из ежемесячных и иных дополнительных выплат.</w:t>
      </w:r>
    </w:p>
    <w:p w:rsidR="004A08C6" w:rsidRPr="00CA345B" w:rsidRDefault="008A648F" w:rsidP="008A648F">
      <w:pPr>
        <w:pStyle w:val="Style15"/>
        <w:tabs>
          <w:tab w:val="left" w:pos="-2127"/>
        </w:tabs>
        <w:spacing w:line="360" w:lineRule="auto"/>
        <w:ind w:firstLine="0"/>
        <w:rPr>
          <w:rStyle w:val="FontStyle29"/>
        </w:rPr>
      </w:pPr>
      <w:r>
        <w:rPr>
          <w:rStyle w:val="FontStyle29"/>
        </w:rPr>
        <w:tab/>
        <w:t>2.</w:t>
      </w:r>
      <w:r w:rsidR="004A08C6" w:rsidRPr="00CA345B">
        <w:rPr>
          <w:rStyle w:val="FontStyle29"/>
        </w:rPr>
        <w:t>2. К ежемесячным и иным дополнительным выплатам относятся: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>
        <w:rPr>
          <w:rStyle w:val="FontStyle29"/>
        </w:rPr>
        <w:tab/>
      </w:r>
      <w:r w:rsidR="004A08C6" w:rsidRPr="00CA345B">
        <w:rPr>
          <w:rStyle w:val="FontStyle29"/>
        </w:rPr>
        <w:t>1) ежемесячное денежное поощрение;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>
        <w:rPr>
          <w:rStyle w:val="FontStyle29"/>
        </w:rPr>
        <w:tab/>
      </w:r>
      <w:r w:rsidR="004A08C6" w:rsidRPr="00CA345B">
        <w:rPr>
          <w:rStyle w:val="FontStyle29"/>
        </w:rPr>
        <w:t>2) ежеквартальное денежное поощрение;</w:t>
      </w:r>
    </w:p>
    <w:p w:rsidR="004A08C6" w:rsidRPr="00CA345B" w:rsidRDefault="004A08C6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CA345B">
        <w:rPr>
          <w:rStyle w:val="FontStyle29"/>
        </w:rPr>
        <w:t>3) единовременная денежная выплата и материальная помощь при предоставлении ежегодного оплачиваемого отпуска;</w:t>
      </w:r>
    </w:p>
    <w:p w:rsidR="004A08C6" w:rsidRPr="00CA345B" w:rsidRDefault="004A08C6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CA345B">
        <w:rPr>
          <w:rStyle w:val="FontStyle29"/>
        </w:rPr>
        <w:t>4) ежемесячная процентная надбавка к денежному вознаграждению за работу со сведениями, составляющими государственную тайну.</w:t>
      </w:r>
    </w:p>
    <w:p w:rsidR="004A08C6" w:rsidRPr="00CA345B" w:rsidRDefault="008A648F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2.</w:t>
      </w:r>
      <w:r w:rsidR="004A08C6" w:rsidRPr="00CA345B">
        <w:rPr>
          <w:rStyle w:val="FontStyle29"/>
        </w:rPr>
        <w:t xml:space="preserve">3. Ежемесячное денежное вознаграждение устанавливается в размере </w:t>
      </w:r>
      <w:r w:rsidR="004A08C6" w:rsidRPr="00CA345B">
        <w:rPr>
          <w:rFonts w:ascii="Times New Roman" w:hAnsi="Times New Roman"/>
          <w:sz w:val="26"/>
          <w:szCs w:val="26"/>
        </w:rPr>
        <w:t>22000 руб.</w:t>
      </w:r>
    </w:p>
    <w:p w:rsidR="004A08C6" w:rsidRPr="00CA345B" w:rsidRDefault="008A648F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2.</w:t>
      </w:r>
      <w:r w:rsidR="004A08C6" w:rsidRPr="00CA345B">
        <w:rPr>
          <w:rStyle w:val="FontStyle29"/>
        </w:rPr>
        <w:t>4. Размер ежемесячного денежного вознаграждения индексируется в соответствии с муниципальным правовым актом Думы Чугуевского муниципального округа о бюджете Чугуевского муниципального округа. При индексации ежемесячного денежного вознаграждения его размеры подлежат округлению до целого рубля в сторону увеличения.</w:t>
      </w:r>
    </w:p>
    <w:p w:rsidR="004A08C6" w:rsidRPr="00CA345B" w:rsidRDefault="004A08C6" w:rsidP="00CA345B">
      <w:pPr>
        <w:pStyle w:val="Style15"/>
        <w:tabs>
          <w:tab w:val="left" w:pos="-2127"/>
        </w:tabs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345B">
        <w:rPr>
          <w:rFonts w:ascii="Times New Roman" w:hAnsi="Times New Roman"/>
          <w:b/>
          <w:bCs/>
          <w:sz w:val="26"/>
          <w:szCs w:val="26"/>
        </w:rPr>
        <w:lastRenderedPageBreak/>
        <w:t>3.</w:t>
      </w:r>
      <w:r w:rsidRPr="00CA345B">
        <w:rPr>
          <w:rFonts w:ascii="Times New Roman" w:hAnsi="Times New Roman"/>
          <w:b/>
          <w:sz w:val="26"/>
          <w:szCs w:val="26"/>
        </w:rPr>
        <w:t xml:space="preserve"> Порядок формирования фонда оплаты труда</w:t>
      </w:r>
      <w:bookmarkStart w:id="1" w:name="sub_21"/>
    </w:p>
    <w:p w:rsidR="004A08C6" w:rsidRPr="00CA345B" w:rsidRDefault="008A648F" w:rsidP="008A648F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A08C6" w:rsidRPr="00CA345B">
        <w:rPr>
          <w:rFonts w:ascii="Times New Roman" w:hAnsi="Times New Roman"/>
          <w:sz w:val="26"/>
          <w:szCs w:val="26"/>
        </w:rPr>
        <w:t xml:space="preserve">1. </w:t>
      </w:r>
      <w:bookmarkStart w:id="2" w:name="sub_211"/>
      <w:bookmarkEnd w:id="1"/>
      <w:r w:rsidR="004A08C6" w:rsidRPr="00CA345B">
        <w:rPr>
          <w:rFonts w:ascii="Times New Roman" w:hAnsi="Times New Roman"/>
          <w:sz w:val="26"/>
          <w:szCs w:val="26"/>
        </w:rPr>
        <w:t xml:space="preserve">При формировании </w:t>
      </w:r>
      <w:proofErr w:type="gramStart"/>
      <w:r w:rsidR="004A08C6" w:rsidRPr="00CA345B">
        <w:rPr>
          <w:rFonts w:ascii="Times New Roman" w:hAnsi="Times New Roman"/>
          <w:sz w:val="26"/>
          <w:szCs w:val="26"/>
        </w:rPr>
        <w:t>фондов оплаты труда органов местного самоуправления</w:t>
      </w:r>
      <w:proofErr w:type="gramEnd"/>
      <w:r w:rsidR="004A08C6" w:rsidRPr="00CA345B">
        <w:rPr>
          <w:rFonts w:ascii="Times New Roman" w:hAnsi="Times New Roman"/>
          <w:sz w:val="26"/>
          <w:szCs w:val="26"/>
        </w:rPr>
        <w:t xml:space="preserve"> Чугуевского муниципального округа для целей финансового обеспечения гарантий деятельности лица, замещающего муниципальную должность, сверх суммы средств, направляемых для выплаты ежемесячного денежного вознаграждения, предусматриваются средства на выплату (в расчете на год):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yandex-sans" w:hAnsi="yandex-sans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1) </w:t>
      </w:r>
      <w:bookmarkStart w:id="3" w:name="sub_212"/>
      <w:bookmarkEnd w:id="2"/>
      <w:r w:rsidR="004A08C6" w:rsidRPr="00CA345B">
        <w:rPr>
          <w:rFonts w:ascii="Times New Roman" w:hAnsi="Times New Roman"/>
          <w:sz w:val="26"/>
          <w:szCs w:val="26"/>
        </w:rPr>
        <w:t xml:space="preserve">ежемесячного денежного поощрения - в размере 36 ежемесячных денежных вознаграждений; 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i/>
          <w:sz w:val="26"/>
          <w:szCs w:val="26"/>
        </w:rPr>
      </w:pPr>
      <w:bookmarkStart w:id="4" w:name="sub_213"/>
      <w:bookmarkEnd w:id="3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>2) ежеквартального денежного поощрения - в размере 4 ежемесячных денежных вознаграждений</w:t>
      </w:r>
      <w:r w:rsidR="004A08C6" w:rsidRPr="00CA345B">
        <w:rPr>
          <w:rFonts w:ascii="Times New Roman" w:hAnsi="Times New Roman"/>
          <w:b/>
          <w:sz w:val="26"/>
          <w:szCs w:val="26"/>
        </w:rPr>
        <w:t>;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bookmarkStart w:id="5" w:name="sub_214"/>
      <w:bookmarkEnd w:id="4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>3) единовременной денежной выплаты при предоставлении отпуска - в размере 2 ежемесячных денежных вознаграждений и материальной помощи – в размере одного денежного вознаграждения;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bookmarkStart w:id="6" w:name="sub_215"/>
      <w:bookmarkEnd w:id="5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4) ежемесячной процентной надбавки к денежному вознаграждению за работу со сведениями, составляющими государственную тайну, </w:t>
      </w:r>
      <w:r w:rsidR="004A08C6" w:rsidRPr="00CA345B">
        <w:rPr>
          <w:rStyle w:val="FontStyle29"/>
        </w:rPr>
        <w:t>в размерах и порядке, установленных законодательством Российской Федерации.</w:t>
      </w:r>
    </w:p>
    <w:p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bookmarkStart w:id="7" w:name="sub_216"/>
      <w:bookmarkEnd w:id="6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5) </w:t>
      </w:r>
      <w:bookmarkEnd w:id="7"/>
      <w:r w:rsidR="004A08C6" w:rsidRPr="00CA345B">
        <w:rPr>
          <w:rFonts w:ascii="Times New Roman" w:hAnsi="Times New Roman"/>
          <w:color w:val="000000"/>
          <w:sz w:val="26"/>
          <w:szCs w:val="26"/>
        </w:rPr>
        <w:t>районного коэффициента – в размере 20 процентов от средств, направляемых для выплаты ежемесячного денежного вознаграждения, и средств, предусмотренных подпунктами 1 - 4 настоящего пункта;</w:t>
      </w:r>
    </w:p>
    <w:p w:rsidR="004A08C6" w:rsidRPr="00CA345B" w:rsidRDefault="004A08C6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A345B">
        <w:rPr>
          <w:color w:val="000000"/>
          <w:sz w:val="26"/>
          <w:szCs w:val="26"/>
        </w:rPr>
        <w:t>процентная надбавка к заработной плате за работу в местностях с особыми климатическими условиями - в размере 30 процентов от средств, направляемых для выплаты ежемесячного денежного вознаграждения, и средств, предусмотренных подпунктами 1-4 настоящего пункта.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 xml:space="preserve">2. Единовременная денежная выплата и материальная помощь выплачивается на основании правового акта администрации Чугуевского муниципального округа на основании заявления лица, </w:t>
      </w:r>
      <w:proofErr w:type="gramStart"/>
      <w:r w:rsidR="004A08C6" w:rsidRPr="00CA345B">
        <w:rPr>
          <w:color w:val="000000"/>
          <w:sz w:val="26"/>
          <w:szCs w:val="26"/>
        </w:rPr>
        <w:t>замещающих</w:t>
      </w:r>
      <w:proofErr w:type="gramEnd"/>
      <w:r w:rsidR="004A08C6" w:rsidRPr="00CA345B">
        <w:rPr>
          <w:color w:val="000000"/>
          <w:sz w:val="26"/>
          <w:szCs w:val="26"/>
        </w:rPr>
        <w:t xml:space="preserve"> муниципальную должность.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3. В течение календарного года выплата единовременной денежной выплаты и материальной помощи для лица, замещающего муниципальную должность, осуществляется в зависимости от даты начала осуществления полномочий:</w:t>
      </w:r>
    </w:p>
    <w:p w:rsidR="004A08C6" w:rsidRPr="00CA345B" w:rsidRDefault="004A08C6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A345B">
        <w:rPr>
          <w:color w:val="000000"/>
          <w:sz w:val="26"/>
          <w:szCs w:val="26"/>
        </w:rPr>
        <w:lastRenderedPageBreak/>
        <w:t>для приступивших к осуществлению полномочий до 1 января текущего года - в полном объеме;</w:t>
      </w:r>
    </w:p>
    <w:p w:rsidR="004A08C6" w:rsidRPr="00CA345B" w:rsidRDefault="004A08C6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A345B">
        <w:rPr>
          <w:color w:val="000000"/>
          <w:sz w:val="26"/>
          <w:szCs w:val="26"/>
        </w:rPr>
        <w:t xml:space="preserve">для приступивших к осуществлению полномочий в текущем году - пропорционально времени, истекшему </w:t>
      </w:r>
      <w:proofErr w:type="gramStart"/>
      <w:r w:rsidRPr="00CA345B">
        <w:rPr>
          <w:color w:val="000000"/>
          <w:sz w:val="26"/>
          <w:szCs w:val="26"/>
        </w:rPr>
        <w:t>с даты начала</w:t>
      </w:r>
      <w:proofErr w:type="gramEnd"/>
      <w:r w:rsidRPr="00CA345B">
        <w:rPr>
          <w:color w:val="000000"/>
          <w:sz w:val="26"/>
          <w:szCs w:val="26"/>
        </w:rPr>
        <w:t xml:space="preserve"> осуществления полномочий до конца текущего календарного года.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4. Не выплаченная в течение календарного года единовременная денежная выплата и материальная помощь подлежит выплате в конце календарного года в соответствии с правовым актом администрации Чугуевского муниципального округа в порядке, установленном абзацами вторым, третьим пункта 3</w:t>
      </w:r>
      <w:r w:rsidR="002138AA">
        <w:rPr>
          <w:color w:val="000000"/>
          <w:sz w:val="26"/>
          <w:szCs w:val="26"/>
        </w:rPr>
        <w:t>.3.</w:t>
      </w:r>
      <w:r w:rsidR="004A08C6" w:rsidRPr="00CA345B">
        <w:rPr>
          <w:color w:val="000000"/>
          <w:sz w:val="26"/>
          <w:szCs w:val="26"/>
        </w:rPr>
        <w:t xml:space="preserve"> настоящ</w:t>
      </w:r>
      <w:r w:rsidR="002138AA">
        <w:rPr>
          <w:color w:val="000000"/>
          <w:sz w:val="26"/>
          <w:szCs w:val="26"/>
        </w:rPr>
        <w:t>его</w:t>
      </w:r>
      <w:r w:rsidR="004A08C6" w:rsidRPr="00CA345B">
        <w:rPr>
          <w:color w:val="000000"/>
          <w:sz w:val="26"/>
          <w:szCs w:val="26"/>
        </w:rPr>
        <w:t xml:space="preserve"> </w:t>
      </w:r>
      <w:r w:rsidR="002138AA">
        <w:rPr>
          <w:color w:val="000000"/>
          <w:sz w:val="26"/>
          <w:szCs w:val="26"/>
        </w:rPr>
        <w:t>Положения</w:t>
      </w:r>
      <w:r w:rsidR="004A08C6" w:rsidRPr="00CA345B">
        <w:rPr>
          <w:color w:val="000000"/>
          <w:sz w:val="26"/>
          <w:szCs w:val="26"/>
        </w:rPr>
        <w:t xml:space="preserve">. 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5. При прекращении полномочий лица, замещающего муниципальную должность, в течение календарного года единовременные денежные выплаты и материальная помощь подлежат выплате вместе с окончательным расчетом пропорционально времени осуществления полномочий по муниципальной должности в календарном году.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6. В пределах средств фондов оплаты труда лицу, замещающему муниципальную должность, может выплачиваться материальная помощь в случаях и порядке, предусмотренных коллективным договором либо иным локальным актом администрации Чугуевского муниципального округа.</w:t>
      </w:r>
    </w:p>
    <w:p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7. Выплаты, предусмотренные настоящим Положением, осуществляются за счет средств бюджета Чугуевского муниципального округа.</w:t>
      </w:r>
    </w:p>
    <w:p w:rsidR="004A08C6" w:rsidRPr="00CA345B" w:rsidRDefault="004A08C6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4A08C6" w:rsidRPr="00CA345B" w:rsidRDefault="004A08C6" w:rsidP="004A08C6">
      <w:pPr>
        <w:pStyle w:val="ConsPlusNormal"/>
        <w:jc w:val="right"/>
        <w:outlineLvl w:val="0"/>
      </w:pPr>
    </w:p>
    <w:p w:rsidR="004A08C6" w:rsidRPr="00CA345B" w:rsidRDefault="004A08C6" w:rsidP="004A08C6">
      <w:pPr>
        <w:pStyle w:val="Style14"/>
        <w:ind w:left="4678" w:firstLine="0"/>
        <w:jc w:val="right"/>
        <w:rPr>
          <w:rStyle w:val="FontStyle29"/>
          <w:bCs/>
          <w:kern w:val="28"/>
        </w:rPr>
      </w:pPr>
    </w:p>
    <w:p w:rsidR="004A08C6" w:rsidRPr="00CA345B" w:rsidRDefault="004A08C6" w:rsidP="004A08C6">
      <w:pPr>
        <w:pStyle w:val="Style14"/>
        <w:ind w:firstLine="0"/>
        <w:rPr>
          <w:rStyle w:val="FontStyle29"/>
          <w:bCs/>
          <w:kern w:val="28"/>
        </w:rPr>
      </w:pPr>
    </w:p>
    <w:p w:rsidR="00ED5EB6" w:rsidRPr="00CA345B" w:rsidRDefault="00F12B66">
      <w:pPr>
        <w:rPr>
          <w:sz w:val="26"/>
          <w:szCs w:val="26"/>
        </w:rPr>
      </w:pPr>
    </w:p>
    <w:sectPr w:rsidR="00ED5EB6" w:rsidRPr="00C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B0"/>
    <w:rsid w:val="000D289B"/>
    <w:rsid w:val="000D2B50"/>
    <w:rsid w:val="001E790C"/>
    <w:rsid w:val="002138AA"/>
    <w:rsid w:val="002D1B47"/>
    <w:rsid w:val="00312A01"/>
    <w:rsid w:val="00411A11"/>
    <w:rsid w:val="00465EB0"/>
    <w:rsid w:val="004A08C6"/>
    <w:rsid w:val="004D63F1"/>
    <w:rsid w:val="004E0554"/>
    <w:rsid w:val="005A5BC5"/>
    <w:rsid w:val="005E0779"/>
    <w:rsid w:val="008A648F"/>
    <w:rsid w:val="00A366A3"/>
    <w:rsid w:val="00A36843"/>
    <w:rsid w:val="00AF5106"/>
    <w:rsid w:val="00B34084"/>
    <w:rsid w:val="00CA345B"/>
    <w:rsid w:val="00D6411B"/>
    <w:rsid w:val="00EC3451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EA4C-8360-4539-9A3F-A21F2F6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2020-08-27T05:23:00Z</dcterms:created>
  <dcterms:modified xsi:type="dcterms:W3CDTF">2020-09-07T05:14:00Z</dcterms:modified>
</cp:coreProperties>
</file>