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center"/>
        <w:rPr>
          <w:rFonts w:ascii="PT Astra Serif" w:hAnsi="PT Astra Serif" w:cs="PT Astra Serif"/>
          <w:lang w:val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val="ru-RU"/>
        </w:rPr>
        <w:t xml:space="preserve">Перечень ошибок, наиболее часто допускаемых при прохождении государственной экспертизы проектной документации и результатов инженерных изысканий</w:t>
      </w:r>
      <w:r>
        <w:rPr>
          <w:rFonts w:ascii="PT Astra Serif" w:hAnsi="PT Astra Serif" w:cs="PT Astra Serif"/>
          <w:b/>
          <w:bCs/>
          <w:sz w:val="28"/>
          <w:szCs w:val="28"/>
          <w:lang w:val="ru-RU"/>
        </w:rPr>
      </w:r>
      <w:r/>
    </w:p>
    <w:p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  <w:t xml:space="preserve">Раздел «Инженерные изыскания»: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1. В отчетах о результатах инженерных изысканий отсутствуют: выписки из каталога координат и высот исходных геодезических пунктов, а также ведомость их обследования; схема созданного планово-высотного обоснования;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2. Отсутствуют планы (схемы) инженерных коммуникаций согласованные с сетедержателями (собственниками);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r>
        <w:rPr>
          <w:rFonts w:ascii="Times New Roman" w:hAnsi="Times New Roman" w:cs="Times New Roman"/>
          <w:sz w:val="24"/>
          <w:szCs w:val="24"/>
          <w:highlight w:val="none"/>
        </w:rPr>
        <w:t xml:space="preserve">3. Если по результатам инженерных изысканий на площадке, расположенной в районе с нормативной сейсмичностью 6 б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r>
        <w:rPr>
          <w:rFonts w:ascii="Times New Roman" w:hAnsi="Times New Roman" w:cs="Times New Roman"/>
          <w:sz w:val="24"/>
          <w:szCs w:val="24"/>
          <w:highlight w:val="none"/>
        </w:rPr>
        <w:t xml:space="preserve">Инженерные изыскания:</w:t>
      </w:r>
      <w:r/>
    </w:p>
    <w:p>
      <w:r>
        <w:rPr>
          <w:rFonts w:ascii="Times New Roman" w:hAnsi="Times New Roman" w:cs="Times New Roman"/>
          <w:sz w:val="24"/>
          <w:szCs w:val="24"/>
          <w:highlight w:val="none"/>
        </w:rPr>
        <w:t xml:space="preserve">1. В отчетах о результатах инженерных изысканий отсутствуют: выписки из каталога координат и высот исходных геодезических пунктов, а также ведомость их обследования; схема созданного планово-высотного обоснования;</w:t>
      </w:r>
      <w:r/>
    </w:p>
    <w:p>
      <w:r>
        <w:rPr>
          <w:rFonts w:ascii="Times New Roman" w:hAnsi="Times New Roman" w:cs="Times New Roman"/>
          <w:sz w:val="24"/>
          <w:szCs w:val="24"/>
          <w:highlight w:val="none"/>
        </w:rPr>
        <w:t xml:space="preserve">2. Отсутствуют планы (схемы) инженерных коммуникаций согласованные с сетедержателями (собственниками);</w:t>
      </w:r>
      <w:r/>
    </w:p>
    <w:p>
      <w:r>
        <w:rPr>
          <w:rFonts w:ascii="Times New Roman" w:hAnsi="Times New Roman" w:cs="Times New Roman"/>
          <w:sz w:val="24"/>
          <w:szCs w:val="24"/>
          <w:highlight w:val="none"/>
        </w:rPr>
        <w:t xml:space="preserve">3. Если по результатам инженерных изысканий на площадке, расположенной в районе с нормативной сейсмичностью 6 баллов по карте А ОСР-2015, грунты по их описанию соответствуют грунтам категории III или IV  по сейсмическим свойствам, расчетную сейсмичность пло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щадки следует определять по результатам СМР, выполняемого в составе инженерных изысканий;</w:t>
      </w:r>
      <w:r/>
    </w:p>
    <w:p>
      <w:r>
        <w:rPr>
          <w:rFonts w:ascii="Times New Roman" w:hAnsi="Times New Roman" w:cs="Times New Roman"/>
          <w:sz w:val="24"/>
          <w:szCs w:val="24"/>
          <w:highlight w:val="none"/>
        </w:rPr>
        <w:t xml:space="preserve">4. Инженерно-геологические скважины следует располагать по контурам и (или) осям проектируемых зданий и сооружений в местах резкого изменения нагрузок на фундаменты и глубины их заложения, на границах геоморфологических элементов.</w:t>
      </w:r>
      <w:r/>
    </w:p>
    <w:p>
      <w:r>
        <w:rPr>
          <w:rFonts w:ascii="Times New Roman" w:hAnsi="Times New Roman" w:cs="Times New Roman"/>
          <w:sz w:val="24"/>
          <w:szCs w:val="24"/>
          <w:highlight w:val="none"/>
        </w:rPr>
        <w:t xml:space="preserve">5. Глубина инженерно-геологических скважин для зданий и сооружений нормального уровня ответственности должна быть увеличена не менее чем на 2 м. относительно суммы проектируемой глубины заложения фундамента и глубины сжимаемой толщи грунтов (Нс). Глубина сж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имаемой толщи в сфере взаимодействия зданий и сооружений с геологической средой определяется трактованиями расчетной модели основания фундамента и указывается заказчиком (лицом, осуществляющим подготовку проектной документации) в задании;</w:t>
      </w:r>
      <w:r/>
    </w:p>
    <w:p>
      <w:r>
        <w:rPr>
          <w:rFonts w:ascii="Times New Roman" w:hAnsi="Times New Roman" w:cs="Times New Roman"/>
          <w:sz w:val="24"/>
          <w:szCs w:val="24"/>
          <w:highlight w:val="none"/>
        </w:rPr>
        <w:t xml:space="preserve">6. По  выделенным инженерно-геологическим элементам не соблюдается получение не менее 10 характеристик состава и состояния грунта или не менее 6 характеристик механических (прочностных и деформационных) свойств;</w:t>
      </w:r>
      <w:r/>
    </w:p>
    <w:p>
      <w:r>
        <w:rPr>
          <w:rFonts w:ascii="Times New Roman" w:hAnsi="Times New Roman" w:cs="Times New Roman"/>
          <w:sz w:val="24"/>
          <w:szCs w:val="24"/>
          <w:highlight w:val="none"/>
        </w:rPr>
        <w:t xml:space="preserve">7. Отсутствуют ответы специально уполномоченных органов о наличии (отсутствии) ограничений по использованию земельного участка: органов местного самоуправления; органов охраны культурного наследия; министерства природных ресурсов Приморского края; сведения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территориального управления Росрыболовства и др.;</w:t>
      </w:r>
      <w:r/>
    </w:p>
    <w:p>
      <w:r>
        <w:rPr>
          <w:rFonts w:ascii="Times New Roman" w:hAnsi="Times New Roman" w:cs="Times New Roman"/>
          <w:sz w:val="24"/>
          <w:szCs w:val="24"/>
          <w:highlight w:val="none"/>
        </w:rPr>
        <w:t xml:space="preserve">8. Установление  границ зоны затопления участка с учетом отметки наивысшего 1% уровня подъема паводковых вод;</w:t>
      </w:r>
      <w:r/>
    </w:p>
    <w:p>
      <w:r>
        <w:rPr>
          <w:rFonts w:ascii="Times New Roman" w:hAnsi="Times New Roman" w:cs="Times New Roman"/>
          <w:sz w:val="24"/>
          <w:szCs w:val="24"/>
          <w:highlight w:val="none"/>
        </w:rPr>
        <w:t xml:space="preserve">9. Отсутствуют продольные профили водотоков, морфостфоры.</w:t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  <w:t xml:space="preserve">Раздел «Проектная документация»: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1. Отсутствие при заходе на экспертизу документа об утверждении документации по планировке и межеванию территорий для линейных объектов, не относящихся к объектам магистральной инфраструктуры, в соответствии с Федеральным законом №254-ФЗ;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2. При размещении здания на земельном участке не учитываются требования, устанавливаемые для зон с особыми условиями использования территории; не учитываются отметки зон затопления, устанавливаемые гидрометеорологическими изысканиями;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3. Для подключения объекта капитального строительства к сетям инженерного обеспечения за границами отведенного земельного участка не предоставляются правоустанавливающие документы на используемые земельные участки, сведения об отсутствии прав третьих лиц и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разрешения муниципальных образований на использование земельных участков без предоставления и установления сервитутов;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4. Отсутствие решений по защите территории размещения объекта капитального строительства от поверхностных стоков с соседних участков - водоотводные сооружения (нагорные канавы, лотки);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5. Отсутствие решений по ливневой канализации и решений по разделению поверхностного стока на загрязненные и условно чистые воды для выбора очистных сооружений;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6. Несоответствие технических решений заданию на проектирование, в том числе по технико-экономическим показателям;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7. Неверный выбор технико-экономических показателей для объектов капитального строительства и для линейных объектов. Наименование ТЭП объектов капительного строительства не соответствует наименованиям и правилам подсчета, приведенным  в соответствующих СП;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8. Несоответствие зданий требованиям теплозащиты; выполнение теплотехнических расчетов по устаревшим методикам;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9. Отсутствие сведений о требуемых параметрах, применяемых материалов - бетонов, стали; сведений о коррозионной защите строительных конструкций;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10. Необеспеченность проездами и подъездами к зданиям и сооружениям пожарных автомобилей;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11. Непредоставление в экспертизу документов, обосновывающих ущерб водным биоресурсам, перечетных ведомостей и подеревной съемки;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12. Неподтверждение заказчиком и отсутствие транспортной схемы, логистических схем доставки строительных материалов и конструкций. Ошибки в подборе кранов и расчете опасных зон.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Раздел: «Смета на строительство объекта капитального строительства»</w:t>
      </w:r>
      <w:r>
        <w:rPr>
          <w:b/>
          <w:bCs/>
          <w:sz w:val="20"/>
          <w:szCs w:val="20"/>
        </w:rPr>
      </w:r>
    </w:p>
    <w:tbl>
      <w:tblPr>
        <w:tblStyle w:val="60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40"/>
        <w:gridCol w:w="5102"/>
      </w:tblGrid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sz w:val="20"/>
                <w:szCs w:val="20"/>
              </w:rPr>
            </w:r>
          </w:p>
        </w:tc>
        <w:tc>
          <w:tcPr>
            <w:tcW w:w="45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</w:t>
            </w:r>
            <w:r>
              <w:rPr>
                <w:sz w:val="20"/>
                <w:szCs w:val="20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sz w:val="20"/>
                <w:szCs w:val="20"/>
              </w:rPr>
            </w:r>
          </w:p>
        </w:tc>
        <w:tc>
          <w:tcPr>
            <w:tcW w:w="45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сметной документации отсутствует информация о принятой сметно-нормативной базе при расчете сметной стоимости объекта капитального строительства, </w:t>
            </w:r>
            <w:r>
              <w:rPr>
                <w:sz w:val="20"/>
                <w:szCs w:val="20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противоречит указаниям п. 20(1) Положения № 145.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322"/>
        </w:trPr>
        <w:tc>
          <w:tcPr>
            <w:tcW w:w="56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5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ведомости объемов работ не в полном объеме подтверждают затраты, учтенные в сметных расчетах.</w:t>
            </w:r>
            <w:r>
              <w:rPr>
                <w:sz w:val="20"/>
                <w:szCs w:val="20"/>
              </w:rPr>
            </w:r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противоречит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п. 27, 35 Методики определения сметной стоимости строительства, реконструкции, капи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РФ на территории РФ, утвержденной приказом Министерства строительства жилищно-коммунального хозяйства РФ </w:t>
            </w: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04.08.2020 </w:t>
            </w: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421/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Приказа Минстроя РФ от 07.07.2022 </w:t>
            </w: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557/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«Методика от 04.08.2020 № 421/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5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ВОР представить расчеты объемов земляных масс для обоснования земляных работ, учтенных в сметной документации.</w:t>
            </w:r>
            <w:r>
              <w:rPr>
                <w:sz w:val="20"/>
                <w:szCs w:val="20"/>
              </w:rPr>
            </w:r>
          </w:p>
        </w:tc>
        <w:tc>
          <w:tcPr>
            <w:tcW w:w="510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sz w:val="20"/>
                <w:szCs w:val="20"/>
              </w:rPr>
            </w:r>
          </w:p>
        </w:tc>
        <w:tc>
          <w:tcPr>
            <w:tcW w:w="45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объемов работ являются продуктом сметной программы</w:t>
            </w:r>
            <w:r>
              <w:rPr>
                <w:sz w:val="20"/>
                <w:szCs w:val="20"/>
              </w:rPr>
            </w:r>
          </w:p>
        </w:tc>
        <w:tc>
          <w:tcPr>
            <w:tcW w:w="510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>
              <w:rPr>
                <w:sz w:val="20"/>
                <w:szCs w:val="20"/>
              </w:rPr>
            </w:r>
          </w:p>
        </w:tc>
        <w:tc>
          <w:tcPr>
            <w:tcW w:w="45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выгруженн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должна содержать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://checkxml.platformaexpert.ru/, устранить ошибки при их выявлении</w:t>
            </w:r>
            <w:r>
              <w:rPr>
                <w:sz w:val="20"/>
                <w:szCs w:val="20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формату электронных документов, представляемых для проведения государственной экспертизы 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строительства, утверждены приказом Министерства строительства</w:t>
            </w: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жилищно-коммунального хозяйства РФ</w:t>
            </w: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 мая 2017 г. № 783/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>
              <w:rPr>
                <w:sz w:val="20"/>
                <w:szCs w:val="20"/>
              </w:rPr>
            </w:r>
          </w:p>
        </w:tc>
        <w:tc>
          <w:tcPr>
            <w:tcW w:w="45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учета затрат в сметном расчете затрат на пусконаладочные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ПНР,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заказчиком. В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перечне оборудования, подлежащего ПНР</w:t>
            </w:r>
            <w:r>
              <w:rPr>
                <w:sz w:val="20"/>
                <w:szCs w:val="20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противоречит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 Методики от 04.08.2020 №421/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>
              <w:rPr>
                <w:sz w:val="20"/>
                <w:szCs w:val="20"/>
              </w:rPr>
            </w:r>
          </w:p>
        </w:tc>
        <w:tc>
          <w:tcPr>
            <w:tcW w:w="45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Некорректное применение индексов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сметной стоимости строительства, для определения сметной стоимости строительно-монтажных работ в текущем уровне цен, включенных в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ССРСС</w:t>
            </w:r>
            <w:r>
              <w:rPr>
                <w:sz w:val="20"/>
                <w:szCs w:val="20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расчета индексов изменения сметной стоимости строительства, утвержденной приказом Минстроя России </w:t>
            </w: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05.06.2019 № 326/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</w:t>
            </w:r>
            <w:r>
              <w:rPr>
                <w:sz w:val="20"/>
                <w:szCs w:val="20"/>
              </w:rPr>
            </w:r>
          </w:p>
        </w:tc>
        <w:tc>
          <w:tcPr>
            <w:tcW w:w="45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документах, обосновывающих стоимость в текущем уровне цен  соответствующих материальных ресурсов, оборудования и отдельных видов работ и услуг, предоставляемых производителями (поставщиками) или формируемых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данных из открытых и (или) официальных источников (прайс-листы коммерческие предложения), указанных в пункте 14 Методики,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ться следующая информация: наименование производителя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оставщика), его идентификационный номер налогоплательщика (далее - ИНН), контактные данные, сайт в информационно-телекоммуникационной сети «Интернет» (при наличии), об исполнителе (исполнителях) (при наличии) такого обосновывающего документа с указанием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милий и инициалов либо иных реквизитов, необходимых для идентификации этих лиц, а также о дате составления документа, дате и (или) сроках действия ценовых предложений, об учете (или не учете) в ценах отдельных затрат (в частности, на перевозку, шефмонтаж,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шефналадку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налога на добавленную стоимость (далее - НДС).</w:t>
            </w:r>
            <w:r>
              <w:rPr>
                <w:sz w:val="20"/>
                <w:szCs w:val="20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противоречит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п. 13-24, Приложение </w:t>
            </w: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Методики от 04.08.2020 </w:t>
            </w: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421/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</w:t>
            </w:r>
            <w:r>
              <w:rPr>
                <w:sz w:val="20"/>
                <w:szCs w:val="20"/>
              </w:rPr>
            </w:r>
          </w:p>
        </w:tc>
        <w:tc>
          <w:tcPr>
            <w:tcW w:w="45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сметных нормативов, единичных расценок и составляющих единичных расценок для определения стоимости строительно-монт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ажных и пусконаладочных работ осуществляется исходя из соответствия технологии производства работ, принятой в проектной и (или) иной технической документации, состава работ, перечня, характеристик и расхода строительных ресурсов, учтенных сметными нормами.</w:t>
            </w:r>
            <w:r>
              <w:rPr>
                <w:sz w:val="20"/>
                <w:szCs w:val="20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Методики от 04.08.2020 </w:t>
            </w: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421/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</w:t>
            </w:r>
            <w:r>
              <w:rPr>
                <w:sz w:val="20"/>
                <w:szCs w:val="20"/>
              </w:rPr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567" w:right="567" w:bottom="567" w:left="85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table" w:styleId="603">
    <w:name w:val="Table Grid"/>
    <w:basedOn w:val="60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Тетерятникова Анастасия Николаевна</dc:creator>
  <cp:keywords/>
  <dc:description/>
  <cp:revision>3</cp:revision>
  <dcterms:created xsi:type="dcterms:W3CDTF">2023-06-27T07:46:00Z</dcterms:created>
  <dcterms:modified xsi:type="dcterms:W3CDTF">2023-06-30T02:05:11Z</dcterms:modified>
</cp:coreProperties>
</file>