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15" w:type="dxa"/>
        <w:jc w:val="left"/>
        <w:tblInd w:w="2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7875"/>
      </w:tblGrid>
      <w:tr>
        <w:trPr>
          <w:trHeight w:val="1373" w:hRule="atLeast"/>
        </w:trPr>
        <w:tc>
          <w:tcPr>
            <w:tcW w:w="203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both"/>
              <w:rPr/>
            </w:pPr>
            <w:r>
              <w:rPr/>
              <w:drawing>
                <wp:anchor behindDoc="0" distT="0" distB="127000" distL="114935" distR="114935" simplePos="0" locked="0" layoutInCell="1" allowOverlap="1" relativeHeight="2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76835</wp:posOffset>
                  </wp:positionV>
                  <wp:extent cx="780415" cy="795020"/>
                  <wp:effectExtent l="0" t="0" r="0" b="0"/>
                  <wp:wrapNone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b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Государственное учреждение - Управление Пенсионного фонда Российской Федерации по  Чугуевскому району Приморскому краю</w:t>
            </w:r>
          </w:p>
          <w:p>
            <w:pPr>
              <w:pStyle w:val="Normal"/>
              <w:spacing w:lineRule="auto" w:line="276" w:before="0" w:after="0"/>
              <w:ind w:left="0" w:right="0" w:firstLine="709"/>
              <w:contextualSpacing/>
              <w:jc w:val="center"/>
              <w:rPr/>
            </w:pPr>
            <w:r>
              <w:rPr>
                <w:rStyle w:val="Style11"/>
                <w:rFonts w:cs="Calibri"/>
                <w:b/>
                <w:bCs/>
                <w:sz w:val="22"/>
                <w:szCs w:val="22"/>
                <w:lang w:val="en-US"/>
              </w:rPr>
              <w:t>Справочный телефон  (42372) 21-9-76         e-mail: 390101</w:t>
            </w:r>
            <w:hyperlink r:id="rId3">
              <w:r>
                <w:rPr>
                  <w:rStyle w:val="Style11"/>
                  <w:rFonts w:cs="Calibri"/>
                  <w:b/>
                  <w:bCs/>
                  <w:sz w:val="22"/>
                  <w:szCs w:val="22"/>
                  <w:lang w:val="en-US"/>
                </w:rPr>
                <w:t>@035.</w:t>
              </w:r>
            </w:hyperlink>
            <w:hyperlink r:id="rId4">
              <w:r>
                <w:rPr>
                  <w:rStyle w:val="Style11"/>
                  <w:rFonts w:cs="Calibri"/>
                  <w:b/>
                  <w:bCs/>
                  <w:sz w:val="22"/>
                  <w:szCs w:val="22"/>
                  <w:lang w:val="en-US"/>
                </w:rPr>
                <w:t>pfr</w:t>
              </w:r>
            </w:hyperlink>
            <w:hyperlink r:id="rId5">
              <w:r>
                <w:rPr>
                  <w:rStyle w:val="Style11"/>
                  <w:rFonts w:cs="Calibri"/>
                  <w:b/>
                  <w:bCs/>
                  <w:sz w:val="22"/>
                  <w:szCs w:val="22"/>
                  <w:lang w:val="en-US"/>
                </w:rPr>
                <w:t>.</w:t>
              </w:r>
            </w:hyperlink>
            <w:hyperlink r:id="rId6">
              <w:r>
                <w:rPr>
                  <w:rStyle w:val="Style11"/>
                  <w:rFonts w:cs="Calibri"/>
                  <w:b/>
                  <w:bCs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>
      <w:pPr>
        <w:pStyle w:val="Normal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Информация для предпенсионеров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16.05.2019, с. Чугуевка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№ 350-ФЗ для сохранения и соблюдения прав граждан в законодательство Российской Федерации вводится понятие предпенсионный возраст.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Льготы и гарантии людям предпенсионного возраста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Для граждан предпенсионного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 2019 года для предпенсионеров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предпенсионного возраста или отказ в приеме их на работу по причине возраста. За работодателем также закрепляется обязанность ежегодно предоставлять работникам предпенсионного возраста два дня на бесплатную диспансеризацию с сохранением заработной платы.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Право на большинство предпенсионных льгот возникает за 5 лет до нового пенсионного возраста с учетом переходного периода, то есть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Это прежде всего относится к работникам опасных и тяжелых профессий по спискам №1, №2 и др., позволяющим досрочно выходить на пенсию. Наступление предпенсионного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Предпенсионный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</w:t>
      </w:r>
      <w:r>
        <w:rPr>
          <w:rFonts w:ascii="Times New Roman" w:hAnsi="Times New Roman"/>
          <w:b/>
          <w:color w:val="000000"/>
          <w:sz w:val="26"/>
          <w:szCs w:val="26"/>
        </w:rPr>
        <w:t>Так</w:t>
      </w:r>
      <w:r>
        <w:rPr>
          <w:rFonts w:ascii="Times New Roman" w:hAnsi="Times New Roman"/>
          <w:color w:val="000000"/>
          <w:sz w:val="26"/>
          <w:szCs w:val="26"/>
        </w:rPr>
        <w:t>, школьный учитель, который в марте 2019 года выработает необходимый педагогический стаж, начиная с этого же момента будет считаться предпенсионером.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Для тех, у кого пенсионный возраст с 2019 года не поменялся, тоже есть право на предпенсионные льготы за 5 лет до выхода на пенсию. </w:t>
      </w:r>
      <w:r>
        <w:rPr>
          <w:rFonts w:ascii="Times New Roman" w:hAnsi="Times New Roman"/>
          <w:b/>
          <w:color w:val="000000"/>
          <w:sz w:val="26"/>
          <w:szCs w:val="26"/>
        </w:rPr>
        <w:t>Например</w:t>
      </w:r>
      <w:r>
        <w:rPr>
          <w:rFonts w:ascii="Times New Roman" w:hAnsi="Times New Roman"/>
          <w:color w:val="000000"/>
          <w:sz w:val="26"/>
          <w:szCs w:val="26"/>
        </w:rPr>
        <w:t>, у многодетных мам с пятью детьми оно возникает начиная с 45 лет, то есть за 5 лет до обычного для себя возраста выхода на пенсию (50 лет). При определении статуса предпенсионера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предпенсионным возрастом для получения налоговых льгот соответственно является 50 лет для женщин и 55 лет для мужчин.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>
          <w:b/>
          <w:b/>
          <w:color w:val="000000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1159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ea5d67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34758e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3475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2901@035.pfr.ru" TargetMode="External"/><Relationship Id="rId4" Type="http://schemas.openxmlformats.org/officeDocument/2006/relationships/hyperlink" Target="mailto:2901@035.pfr.ru" TargetMode="External"/><Relationship Id="rId5" Type="http://schemas.openxmlformats.org/officeDocument/2006/relationships/hyperlink" Target="mailto:2901@035.pfr.ru" TargetMode="External"/><Relationship Id="rId6" Type="http://schemas.openxmlformats.org/officeDocument/2006/relationships/hyperlink" Target="mailto:2901@035.pfr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A0DF-57A8-40C3-BD95-30D51E22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LibreOffice/5.0.2.2$Windows_X86_64 LibreOffice_project/37b43f919e4de5eeaca9b9755ed688758a8251fe</Application>
  <Paragraphs>13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2019-05-13T08:05:00Z</dcterms:created>
  <dc:creator>Никитина Людмила Владимировна</dc:creator>
  <dc:language>ru-RU</dc:language>
  <cp:lastPrinted>2019-05-16T14:26:50Z</cp:lastPrinted>
  <dcterms:modified xsi:type="dcterms:W3CDTF">2019-05-16T14:26:53Z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