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8B1A4" w14:textId="5393A6A5" w:rsidR="00382452" w:rsidRPr="00066CA0" w:rsidRDefault="00066CA0">
      <w:pPr>
        <w:pStyle w:val="af4"/>
        <w:ind w:firstLine="709"/>
        <w:jc w:val="center"/>
        <w:rPr>
          <w:rFonts w:asciiTheme="minorHAnsi" w:hAnsiTheme="minorHAnsi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eastAsia="ru-RU"/>
        </w:rPr>
        <w:t xml:space="preserve">                                       </w:t>
      </w:r>
    </w:p>
    <w:p w14:paraId="4E93B09A" w14:textId="73DC2513" w:rsidR="00382452" w:rsidRDefault="009E7F44">
      <w:pPr>
        <w:pStyle w:val="af4"/>
        <w:ind w:firstLine="709"/>
        <w:jc w:val="center"/>
        <w:rPr>
          <w:rFonts w:ascii="Times New Roman" w:hAnsi="Times New Roman" w:cs="PT Astra Serif"/>
          <w:b/>
          <w:sz w:val="28"/>
          <w:szCs w:val="28"/>
          <w:lang w:eastAsia="ru-RU"/>
        </w:rPr>
      </w:pPr>
      <w:r>
        <w:rPr>
          <w:rFonts w:ascii="Times New Roman" w:hAnsi="Times New Roman" w:cs="PT Astra Serif"/>
          <w:b/>
          <w:sz w:val="28"/>
          <w:szCs w:val="28"/>
          <w:lang w:eastAsia="ru-RU"/>
        </w:rPr>
        <w:t xml:space="preserve">Отчет </w:t>
      </w:r>
      <w:r w:rsidR="00066CA0" w:rsidRPr="00066CA0">
        <w:rPr>
          <w:rFonts w:ascii="Times New Roman" w:hAnsi="Times New Roman" w:cs="PT Astra Serif"/>
          <w:b/>
          <w:sz w:val="28"/>
          <w:szCs w:val="28"/>
          <w:u w:val="single"/>
          <w:lang w:eastAsia="ru-RU"/>
        </w:rPr>
        <w:t>администрации Чугуевского муниципального округа</w:t>
      </w:r>
    </w:p>
    <w:p w14:paraId="12EADD7D" w14:textId="77777777" w:rsidR="00382452" w:rsidRDefault="009E7F44">
      <w:pPr>
        <w:pStyle w:val="af4"/>
        <w:ind w:firstLine="709"/>
        <w:jc w:val="center"/>
        <w:rPr>
          <w:rFonts w:ascii="Times New Roman" w:hAnsi="Times New Roman" w:cs="PT Astra Serif"/>
          <w:bCs/>
          <w:i/>
          <w:color w:val="C00000"/>
          <w:sz w:val="18"/>
          <w:szCs w:val="18"/>
          <w:lang w:eastAsia="ru-RU"/>
        </w:rPr>
      </w:pPr>
      <w:r>
        <w:rPr>
          <w:rFonts w:ascii="Times New Roman" w:hAnsi="Times New Roman" w:cs="PT Astra Serif"/>
          <w:bCs/>
          <w:i/>
          <w:color w:val="C00000"/>
          <w:sz w:val="18"/>
          <w:szCs w:val="18"/>
          <w:lang w:eastAsia="ru-RU"/>
        </w:rPr>
        <w:t>название органа, представившего отчет</w:t>
      </w:r>
    </w:p>
    <w:p w14:paraId="573FBA35" w14:textId="77777777" w:rsidR="00382452" w:rsidRDefault="009E7F44">
      <w:pPr>
        <w:pStyle w:val="af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PT Astra Serif"/>
          <w:b/>
          <w:sz w:val="28"/>
          <w:szCs w:val="28"/>
          <w:lang w:eastAsia="ru-RU"/>
        </w:rPr>
        <w:t>о результатах антикоррупционного мониторинга за 2022 год</w:t>
      </w:r>
    </w:p>
    <w:p w14:paraId="42D76D21" w14:textId="77777777" w:rsidR="00382452" w:rsidRDefault="00382452">
      <w:pPr>
        <w:pStyle w:val="af4"/>
        <w:ind w:firstLine="709"/>
        <w:jc w:val="center"/>
        <w:rPr>
          <w:rFonts w:ascii="Times New Roman" w:hAnsi="Times New Roman" w:cs="PT Astra Serif"/>
          <w:b/>
          <w:sz w:val="28"/>
          <w:szCs w:val="28"/>
          <w:lang w:eastAsia="ru-RU"/>
        </w:rPr>
      </w:pPr>
    </w:p>
    <w:tbl>
      <w:tblPr>
        <w:tblW w:w="1487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02"/>
        <w:gridCol w:w="2829"/>
        <w:gridCol w:w="5751"/>
        <w:gridCol w:w="1545"/>
        <w:gridCol w:w="1545"/>
        <w:gridCol w:w="2507"/>
      </w:tblGrid>
      <w:tr w:rsidR="00382452" w14:paraId="6BDC2B6D" w14:textId="77777777">
        <w:trPr>
          <w:tblHeader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7B7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PT Astra Serif" w:hAnsi="Times New Roman" w:cs="PT Astra Serif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E151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Наименование предоставляемой информации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877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0068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Показатели исполнения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71F2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82452" w14:paraId="60456CD2" w14:textId="77777777">
        <w:trPr>
          <w:tblHeader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DE9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48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8B2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B959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PT Astra Serif"/>
                <w:b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59EE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EE0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4131C34" w14:textId="77777777">
        <w:trPr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971E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4A23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24AA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62A7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72CA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8C39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6</w:t>
            </w:r>
          </w:p>
        </w:tc>
      </w:tr>
      <w:tr w:rsidR="00382452" w14:paraId="08CAEBFF" w14:textId="7777777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B4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08A6F9D4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 И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зучение общественного мнения о состоянии коррупции и эффективности принимаемых антикоррупционных мер </w:t>
            </w:r>
          </w:p>
        </w:tc>
      </w:tr>
      <w:tr w:rsidR="00382452" w14:paraId="0509E1D9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C4F08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0C4FE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уровне «бытовой» коррупции</w:t>
            </w:r>
          </w:p>
          <w:p w14:paraId="70920B14" w14:textId="77777777" w:rsidR="00382452" w:rsidRDefault="00382452">
            <w:pPr>
              <w:pStyle w:val="af4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F10F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1.1.1. Риск «бытовой» коррупции (вероятность возникновения коррупционной ситуации при взаимодействии гражданина с представителями органов исполнительной власти Приморского края, органов местного самоуправления муниципальных образований Приморского края, краевых и муниципальных предприятий и учреждений (далее соответственно – органы исполнительной власти, органы местного самоуправления, предприятия, учреждения), в том числе в рамках получения государственных (муниципальных) услуг)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8A6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E6A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FA6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департамент внутренней политики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Приморского края</w:t>
            </w:r>
          </w:p>
          <w:p w14:paraId="61FEBF9D" w14:textId="77777777" w:rsidR="00382452" w:rsidRDefault="00382452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FB34FC3" w14:textId="77777777"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065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2C0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6015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1.1.2. Мнение граждан об интенсивности «бытовой» коррупции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DC2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55F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670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B200E08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D735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179F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уровне «деловой» коррупции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02E7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1.2.1. Риск «деловой» коррупции (вероятность возникновения коррупционной ситуации при взаимодействии представителей коммерческих организаций и индивидуальных предпринимателей (далее – представители бизнеса) с представителями органов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 xml:space="preserve">исполнительной власти и органов местного самоуправления, предприятий, учреждений,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том числе в рамках получения государственных (муниципальных) услуг)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577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903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A70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D887D26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30F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F29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4EF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1.2.2. Мнение представителей бизнеса об интенсивности «деловой» коррупции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11B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ADF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E36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A675643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0F9E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010F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Данные общественного мнения о коррупционной ситуации в регионе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EF5C1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1.3.1. Доля опрошенных респондентов, считающих, что уровень коррупции в Приморском крае:</w:t>
            </w:r>
          </w:p>
          <w:p w14:paraId="39ABB3D2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высокий, %;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493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41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33F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A0EC746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F6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4C6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172A6BBA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средний, %;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787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CE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86E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3EAAC7D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983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D41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78B4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низкий, %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53D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B07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F5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3AB6EB4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BBD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03D2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Данные общественного мнения об эффективности антикоррупционной работы, проводимой органами государственной власти Приморского края и органами местного самоуправления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0F8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1.4.1. Доля опрошенных респондентов, оценивающих работу органов государственной власти Приморского края, органов местного самоуправления, предприятий, учреждений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коррупции:</w:t>
            </w:r>
          </w:p>
          <w:p w14:paraId="49B12DFB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положительно, %;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F6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49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7BD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308F3D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C9A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ED5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968A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скорее положительно, %;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22F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613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E5C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59B992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51E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FFD6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8F8F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скорее отрицательно, %;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1A1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E17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7F2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3878F0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C6B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C6CF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A2A2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отрицательно, %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D38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CD9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BA0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0F50C84" w14:textId="7777777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24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614436BE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Анализ жалоб и обращений физических и юридических лиц о фактах совершения 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br/>
              <w:t xml:space="preserve">коррупционных правонарушений </w:t>
            </w:r>
          </w:p>
        </w:tc>
      </w:tr>
      <w:tr w:rsidR="00382452" w14:paraId="2898BBAF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D03D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750C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Информация о результатах анализа жалоб и обращений физических и юридических лиц о фактах совершения коррупционных </w:t>
            </w:r>
          </w:p>
          <w:p w14:paraId="2A4932BD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правонарушений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4D5B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2.1.1. Общее количество жалоб и обращений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8DF4" w14:textId="47A9E683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0B6" w14:textId="5BFD0947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35C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органы исполнительной власти (с учетом информации, представленной подведомственными предприятиями и учреждениями); административный департамент аппарата Губернатора Приморского края и Правительства Приморского края, (далее – административный департамент), в части пунктов 2.1.1, 2.1.2, 2.1.4;</w:t>
            </w:r>
          </w:p>
          <w:p w14:paraId="67ADCA54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  <w:p w14:paraId="1137E6AA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(с учетом информации, представленной подведомственными предприятиями и учреждениями)</w:t>
            </w:r>
          </w:p>
        </w:tc>
      </w:tr>
      <w:tr w:rsidR="00382452" w14:paraId="5335BB4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FDB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65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A4FE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2.1.2. Из них количество жалоб и обращений о фактах совершения коррупционных правонарушений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B0D" w14:textId="5F872DB5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ACBB" w14:textId="5FF1507E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65D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3AFA5F3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36A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B1A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A0CA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2.1.3. Количество жалоб и обращений о фактах совершения коррупционных правонарушений, не получивших подтверждения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58D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533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9C1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75035B3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5C1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4E6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5E71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2.1.4. Количество жалоб и обращений о фактах совершения коррупционных правонарушений, направленных по компетенции в другие органы (организации) (в том числе с указанием, в какие органы (организации) и сколько жалоб направлено)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08AA" w14:textId="1559D2E5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4616" w14:textId="31FC5676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9C2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B3A075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C9F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4D4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14A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2.1.5. Количество жалоб и обращений о фактах совершения коррупционных правонарушений, послуживших основанием для проведения проверочных мероприятий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1FB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431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538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15BC32C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5FA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707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8D86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2.1.6. Количество лиц, привлеченных к ответственности по результатам проверок по жалобам и обращениям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370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F03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4A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B8F066C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AB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30A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BE4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2.1.7. Перечень наиболее часто повторяющихся жалоб и обращений по фактам совершения коррупционных правонарушений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595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525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D26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79533B1" w14:textId="7777777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35D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187DA7A5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382452" w14:paraId="3B6B5D57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E378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4817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об организации подготовки государственных гражданских служащих, муниципальных служащих (далее – служащие)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сфере противодействия коррупции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577F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3.1. Количество служащих, прошедших обучение по антикоррупционной тематике, в том числе: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855F" w14:textId="303294C4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4615" w14:textId="2E86D9CC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</w:t>
            </w:r>
            <w:r w:rsidR="00875A9D"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72CA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</w:p>
          <w:p w14:paraId="1CC47D16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министерство труда и социальной политики Приморского края, министерство транспорта и дорожного хозяйства Приморского края, агентство по тарифам Приморского края (далее – органы исполнительной власти, имеющие самостоятельные кадровые службы);</w:t>
            </w:r>
          </w:p>
          <w:p w14:paraId="38FF7655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382452" w14:paraId="3BB0883C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B0D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FB7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83EE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руководителей всех уровней;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25C9" w14:textId="1F81F208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988B" w14:textId="67DD683C" w:rsidR="00382452" w:rsidRDefault="00875A9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BE2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</w:tr>
      <w:tr w:rsidR="00382452" w14:paraId="1F4D0CE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2F0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FE9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720" w14:textId="77777777" w:rsidR="00382452" w:rsidRDefault="009E7F44">
            <w:pPr>
              <w:pStyle w:val="a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служащих,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в должностные обязанности которых входит участие в противодействии коррупции;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44C5" w14:textId="572ED3AE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13DB" w14:textId="4E147034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8DA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</w:tr>
      <w:tr w:rsidR="00382452" w14:paraId="50EF594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BDD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0AD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DDB9" w14:textId="77777777" w:rsidR="00382452" w:rsidRDefault="009E7F44">
            <w:pPr>
              <w:pStyle w:val="a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служащих,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впервые поступивших на государственную службу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EE55" w14:textId="30A6B702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EA7A" w14:textId="74A89387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1B9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</w:tr>
      <w:tr w:rsidR="00382452" w14:paraId="4231C54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E8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414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6B1A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3.2. Доля служащих,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прошедших обучение по антикоррупционной тематике,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 по отношению к общему количеству прошедших обучение служащих, %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FA1" w14:textId="3B30089D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4EA4" w14:textId="7487B5DB" w:rsidR="00382452" w:rsidRDefault="00875A9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CA8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86D7432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4681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3.2.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7F5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D21B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3.2.1. Общее количество служащих, привлеченных к ответственности за несоблюдение ограничений, запретов, требований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472D" w14:textId="3CC73C23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5C5D" w14:textId="02309CEE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65E2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60BB3996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  <w:p w14:paraId="099D08F6" w14:textId="77777777" w:rsidR="00382452" w:rsidRDefault="00382452">
            <w:pPr>
              <w:pStyle w:val="af4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D725CC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902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13F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45EB3F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3.2.2. Количество служащих, привлеченных 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, </w:t>
            </w:r>
          </w:p>
          <w:p w14:paraId="195EB62B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в виде: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F40C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4CBC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DDE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B6D2DCB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0A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550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783EA0E5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замечания;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</w:tcPr>
          <w:p w14:paraId="15AF74D8" w14:textId="425AE108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</w:tcPr>
          <w:p w14:paraId="07223B7E" w14:textId="29302C2F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0D0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6EA4E6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885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F89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21B0F533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выговора;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</w:tcPr>
          <w:p w14:paraId="1CBB582E" w14:textId="3377D356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</w:tcPr>
          <w:p w14:paraId="5A32AE75" w14:textId="381BC258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9ED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9A335F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1E7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36F6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7A4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предупреждения о неполном должностном соответствии;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5B55" w14:textId="16F36582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B65B" w14:textId="1BFB7772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78E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D41B6DC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2F1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B60A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5CF3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3.2.3. Количество служащих, привлеченных 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неоднократно (с указанием количества случаев привлечения к ответственности в отношении каждого служащего);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9C6A" w14:textId="1289E8D9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4295" w14:textId="19222336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312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5E667E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E72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4C6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32A1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3.2.4.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административной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1AF6" w14:textId="4FB67E49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C5B" w14:textId="4DAD9D71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627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D3885A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9A2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B7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0126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3.2.5.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уголовной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BBE9" w14:textId="27178BDD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C0D3" w14:textId="187DD530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16C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CAAED8D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CB0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AE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6B63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3.2.6.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 наказанием в виде штрафа;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97A5" w14:textId="4D5D72DA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7740" w14:textId="2E6863D0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91B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C556E0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0C6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48A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EC97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3.2.7.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 наказанием в виде реального лишения свободы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2B3B" w14:textId="150BFFAC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501F" w14:textId="75C9E013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F5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40A661B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DC91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3.3.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531D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27FF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3.3.1. Количество служащих, уволенных за н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EC7" w14:textId="085C213C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034D" w14:textId="5CA63DF9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4DA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625E895E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  <w:p w14:paraId="5FC8C3BF" w14:textId="77777777" w:rsidR="00382452" w:rsidRDefault="00382452">
            <w:pPr>
              <w:pStyle w:val="af4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26BE5C9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ECF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247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97F2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 Количество служащих, уволенных в связи с утратой доверия, по следующим основаниям: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CBCB" w14:textId="5173B3AB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361" w14:textId="70A46A12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2B0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FAB364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25D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59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8083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3.3.2.1. Непринятие мер по предотвращению и (или) урегулированию конфликта интересов, стороной которого он является;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1F2" w14:textId="5EC07BCA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9163" w14:textId="6E8634F7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28C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C9BA71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708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8EF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FAAA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3.3.2.2. Непредставление сведений о доходах либо представление заведомо недостоверных или неполных сведений;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308A" w14:textId="1959D7F7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DD73" w14:textId="2DAACE75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4AE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D9280F6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B3A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1F5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DDA4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D8E2" w14:textId="26BEE192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3D0D" w14:textId="0CBF398C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0B9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ED8DF7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46C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31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F9D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3.3.2.4. Осуществление предпринимательской деятельности;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4BB4" w14:textId="03E0526B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00EC" w14:textId="1F0F5793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0F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FF5A3D8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4FE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97A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CA3D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3.3.2.5. 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67D4" w14:textId="4FC68513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141F" w14:textId="2A9F6038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B68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9F199B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70A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90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B6F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3.3.2.6. По иным основаниям, предусмотренным законодательством Российской Федерации.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C3CA" w14:textId="0DEBF835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1BD6" w14:textId="3F3B1890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97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7E1EC4C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D881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3.4.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9579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 бюджетных средствах, затраченных на реализацию антикоррупционных программ (планов по противодействию коррупции)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F6CF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3.4.1. Сумма бюджетных средств, запланированных на реализацию антикоррупционных программ (планов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коррупции), тыс. руб.;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315A" w14:textId="1D833FFE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0E7A" w14:textId="24EDCE81" w:rsidR="00382452" w:rsidRDefault="00862257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4C8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 – главные распорядители бюджетных средств (с учетом информации, представленной подведомственными предприятиями и учреждениями);</w:t>
            </w:r>
          </w:p>
          <w:p w14:paraId="7E6B5D29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местного самоуправления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382452" w14:paraId="2F75395D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09E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E61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EFC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3.4.2. Сумма бюджетных средств, выделенных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коррупции, тыс. руб.;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4958" w14:textId="2E9C9D0F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9FF8" w14:textId="44EEC843" w:rsidR="00382452" w:rsidRDefault="00862257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AF4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DD5E09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7C1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D632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0837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3.4.3. Сумма бюджетных средств, затраченных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коррупции, тыс. руб.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0DD6" w14:textId="0D2EDE8D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4C6" w14:textId="67CC3A49" w:rsidR="00382452" w:rsidRDefault="00862257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CC5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4C800A4" w14:textId="7777777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F92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4960E1EC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 А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>нализ публикаций о коррупции в средствах массовой информации (далее – СМИ)</w:t>
            </w:r>
          </w:p>
        </w:tc>
      </w:tr>
      <w:tr w:rsidR="00382452" w14:paraId="6CAF2252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4841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B3B1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Информация о взаимодействии со СМИ в сфере реализации антикоррупционной политики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B1E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4.1.1. Количество подготовленных пресс-релизов по вопросам реализации антикоррупционной политики, направленных в СМИ и размещенных на официальном сайте Правительства Приморского края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921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690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3378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департамент информационной политики Приморского края</w:t>
            </w:r>
            <w:r w:rsidRPr="00637C0A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,</w:t>
            </w:r>
          </w:p>
          <w:p w14:paraId="1C2C5B16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местного самоуправления </w:t>
            </w:r>
          </w:p>
        </w:tc>
      </w:tr>
      <w:tr w:rsidR="00382452" w14:paraId="3963A8C7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A0F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1E32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298D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4.1.2. Количество масс-медийных мероприятий или мероприятий, проведенных с участием СМИ,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на которых рассматривались антикоррупционные темы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C15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0C8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B24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3B7D4E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BE7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C2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2A7C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4.1.3. Количество медиа-продукции антикоррупционной направленности, созданной при поддержке органов государственной власти Приморского края, органов местного самоуправления, в т.ч.: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C3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256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C19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2B60CC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99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9DE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B2E3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видеороликов;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6DA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80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E73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DD0AF5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CB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4CB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E9B6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телепрограмм;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A29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580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366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77B48C8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875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58C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4592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радиопрограмм;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E13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838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A05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327FDC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0C8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6CA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AD3C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печатных изданий;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8F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A96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FCE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3811036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057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A2F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CE2B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наружной рекламы;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208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F1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F9F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3ECA5C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D56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4C6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D9A8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постов в социальных сетях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C0D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1A5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7F6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C210CFA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48D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4.2.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ED3A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Информация о публикациях на коррупционные темы, прошедших в СМИ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B943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4.2.1. Количество публикаций, программ (сюжетов), постов, вышедших без поддержки органов государственной власти, органов местного самоуправления, в т.ч.: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2E7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6B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A0D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FBCD2EB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9C4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1D6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C83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печатных изданиях;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068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05D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ACF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17A008C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901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5D1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EEF3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на телевидении;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CCB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C27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695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911A19D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6A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655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7592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информационных агентствах и интернет-изданиях;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05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D96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1E5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922A4E9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D6F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7F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13CE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социальных сетях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BE5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2CA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D1F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689A7C3" w14:textId="7777777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5BD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0E59CFE8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 С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>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</w:t>
            </w:r>
          </w:p>
        </w:tc>
      </w:tr>
      <w:tr w:rsidR="00382452" w14:paraId="67B3BECA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AB53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4D92" w14:textId="77777777" w:rsidR="00382452" w:rsidRDefault="009E7F44">
            <w:pPr>
              <w:pStyle w:val="af4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Информация о проведении проверок достоверности и</w:t>
            </w:r>
          </w:p>
          <w:p w14:paraId="763E9947" w14:textId="77777777" w:rsidR="00382452" w:rsidRDefault="009E7F44">
            <w:pPr>
              <w:pStyle w:val="af4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полноты сведений о доходах, об имуществе и обязательствах имущественного характера, представленных лицами, </w:t>
            </w:r>
          </w:p>
          <w:p w14:paraId="5A8B1E52" w14:textId="77777777" w:rsidR="00382452" w:rsidRDefault="009E7F44">
            <w:pPr>
              <w:pStyle w:val="af4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претендующими на замещение государственных (муниципальных) должностей Приморского края, должностей государственной </w:t>
            </w:r>
          </w:p>
          <w:p w14:paraId="26170E6D" w14:textId="77777777" w:rsidR="00382452" w:rsidRDefault="009E7F44">
            <w:pPr>
              <w:pStyle w:val="af4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гражданской службы Приморского края, муниципальной службы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2EE2" w14:textId="77777777" w:rsidR="00382452" w:rsidRDefault="009E7F44">
            <w:pPr>
              <w:pStyle w:val="af4"/>
              <w:ind w:left="31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5.1.1. Общее количество проверенных претендентов, поступающих на государственную 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 xml:space="preserve">гражданскую и муниципальную службу (далее – претенденты); </w:t>
            </w:r>
          </w:p>
          <w:p w14:paraId="25C0724A" w14:textId="77777777" w:rsidR="00382452" w:rsidRDefault="00382452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40B8" w14:textId="638263EC" w:rsidR="00382452" w:rsidRDefault="00066CA0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C9C1" w14:textId="592A2C72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D512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власти, имеющие самостоятельные кадровые службы;</w:t>
            </w:r>
          </w:p>
          <w:p w14:paraId="2DBAD2DB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  <w:p w14:paraId="7337E1B0" w14:textId="77777777" w:rsidR="00382452" w:rsidRDefault="00382452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</w:p>
          <w:p w14:paraId="41DA1DBD" w14:textId="77777777" w:rsidR="00382452" w:rsidRDefault="00382452">
            <w:pPr>
              <w:pStyle w:val="af4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2E92ABD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312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D8D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A051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5.1.2. Количество представленных претендентами справок о доходах, об имуществе и обязательствах имущественного характера на себя, супругу (супруга) и несовершеннолетних детей (далее – справки);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2DD3" w14:textId="69833E51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CECC" w14:textId="5F4B0B4F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251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690857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7BC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BF48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061A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5.1.3. Количество справок, проверенных на предмет достоверности и полноты сведений о доходах, об имуществе и обязательствах имущественного характера;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B7DC" w14:textId="2A5C18EA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766" w14:textId="0E3DD089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D42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F4C0366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03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E54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5640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5.1.4. Количество справок, содержащих неполные или недостоверные сведения о доходах, об имуществе и обязательствах имущественного характера (с указанием основных нарушений);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8D39" w14:textId="2A34A3E6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17C" w14:textId="7475DF40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0A5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63EC9A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3EB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CF96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8BAE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5.1.5. Количество претендентов, получивших отказ в трудоустройстве по причинам несоблюдения антикоррупционного законодательства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520D" w14:textId="40806EB2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8D44" w14:textId="69027F07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740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5E60970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9303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AC49" w14:textId="77777777" w:rsidR="00382452" w:rsidRDefault="009E7F44">
            <w:pPr>
              <w:pStyle w:val="af4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Информация о проведении проверок достоверности и полноты сведений о доходах, расходах, 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 xml:space="preserve">об имуществе и обязательствах имущественного </w:t>
            </w:r>
          </w:p>
          <w:p w14:paraId="2ABC5053" w14:textId="77777777" w:rsidR="00382452" w:rsidRDefault="009E7F44">
            <w:pPr>
              <w:pStyle w:val="af4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характера, представленных: </w:t>
            </w:r>
          </w:p>
          <w:p w14:paraId="156257E5" w14:textId="77777777" w:rsidR="00382452" w:rsidRDefault="009E7F44">
            <w:pPr>
              <w:pStyle w:val="af4"/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1) лицами, замещающими государственные должности Приморского края;</w:t>
            </w:r>
          </w:p>
          <w:p w14:paraId="78D2BA90" w14:textId="77777777" w:rsidR="00382452" w:rsidRDefault="009E7F44">
            <w:pPr>
              <w:pStyle w:val="af4"/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2) лицами, замещающими муниципальные должности;</w:t>
            </w:r>
          </w:p>
          <w:p w14:paraId="474C265D" w14:textId="77777777" w:rsidR="00382452" w:rsidRDefault="009E7F44">
            <w:pPr>
              <w:pStyle w:val="af4"/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3) государственными гражданскими служащими Приморского края;</w:t>
            </w:r>
          </w:p>
          <w:p w14:paraId="4F68A7F5" w14:textId="77777777" w:rsidR="00382452" w:rsidRDefault="009E7F44">
            <w:pPr>
              <w:pStyle w:val="af4"/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4) муниципальными служащими;</w:t>
            </w: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br/>
              <w:t xml:space="preserve">5) лицами, </w:t>
            </w:r>
          </w:p>
          <w:p w14:paraId="7D004A9A" w14:textId="77777777" w:rsidR="00382452" w:rsidRDefault="009E7F44">
            <w:pPr>
              <w:pStyle w:val="af4"/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 xml:space="preserve">замещающими должности руководителей краевых государственных </w:t>
            </w: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lastRenderedPageBreak/>
              <w:t>учреждений;</w:t>
            </w: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br/>
              <w:t xml:space="preserve">6) лицами, </w:t>
            </w:r>
          </w:p>
          <w:p w14:paraId="0F3AE5AB" w14:textId="77777777" w:rsidR="00382452" w:rsidRDefault="009E7F44">
            <w:pPr>
              <w:pStyle w:val="af4"/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замещающими должности руководителей муниципальных учреждений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7E00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>5.2.1. Общее количество лиц, на которых возлагаются обязанности по представлению сведений о доходах, расходах, об имуществе и обязательствах имущественного характера;</w:t>
            </w:r>
          </w:p>
          <w:p w14:paraId="72B3BEA2" w14:textId="77777777" w:rsidR="00382452" w:rsidRDefault="00382452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379F" w14:textId="3F3E5806" w:rsidR="00382452" w:rsidRDefault="00066CA0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C8D3" w14:textId="60AC9F8B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BF616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B2C5CA6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органы местного самоуправления</w:t>
            </w:r>
          </w:p>
          <w:p w14:paraId="5FEB032F" w14:textId="77777777" w:rsidR="00382452" w:rsidRDefault="00382452">
            <w:pPr>
              <w:pStyle w:val="af4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32EF183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EA4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52EE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4EE7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5.2.2. Количество лиц, представивших справки о доходах, расходах, об имуществе и обязательствах имущественного характера на себя, супругу (супруга) и несовершеннолетних детей;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09D" w14:textId="56DDF521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2F74" w14:textId="0991E7F4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6CB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1424E2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59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1EE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32E26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5.2.3. Количество лиц, не представивших справки о доходах, расходах, об имуществе и обязательствах имущественного характера с указанием: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392E" w14:textId="1C11D812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62B1" w14:textId="3D7C2B38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6F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C16C18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27B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5CA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4BDBAC97" w14:textId="77777777" w:rsidR="00382452" w:rsidRDefault="009E7F44">
            <w:pPr>
              <w:pStyle w:val="af4"/>
              <w:jc w:val="right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причин непредставления,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FE43" w14:textId="739ADF49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2F46" w14:textId="5F92EA4B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6F9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B3732C6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4C4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755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8F3B" w14:textId="77777777" w:rsidR="00382452" w:rsidRDefault="009E7F44">
            <w:pPr>
              <w:pStyle w:val="af4"/>
              <w:jc w:val="right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мер воздействия, принятых в связи с непредставлением;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9F07" w14:textId="1774EEEE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AC28" w14:textId="22332F1E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417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B66C71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B20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265C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6846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5.2.4. Количество справок о доходах, расходах, об имуществе и обязательствах имущественного характера, представленных указанными лицами;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888" w14:textId="528BE347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4E9A" w14:textId="6B8C04A4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319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E75DCF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A74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754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11621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5.2.5. Количество справок, содержащих неполные или недостоверные сведения о доходах, расходах, об имуществе и обязательствах имущественного характера, представленных указанными лицами, шт.,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FD3" w14:textId="61FB4448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9158" w14:textId="759AFA24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9F9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206623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E4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66DC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EA2D" w14:textId="77777777" w:rsidR="00382452" w:rsidRDefault="009E7F44">
            <w:pPr>
              <w:pStyle w:val="af4"/>
              <w:jc w:val="right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с перечнем основных нарушений;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B8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B2C8" w14:textId="12F85B71" w:rsidR="00382452" w:rsidRPr="00FD1A25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 w:rsidRPr="00FD1A25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Не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</w:t>
            </w:r>
            <w:r w:rsidRPr="00FD1A25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указан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ы</w:t>
            </w:r>
            <w:r w:rsidRPr="00FD1A25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счет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а в банках с нулевым остатком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E9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DC95AA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A48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A7C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9B7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5.2.6. Количество лиц, представивших неполные или недостоверные сведения о доходах, расходах, 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>об имуществе и обязательствах имущественного характера;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CBF5" w14:textId="22F5C69A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64F8" w14:textId="5CD8C502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7EA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060F58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E3F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A43F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AF356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5.2.7. Количество лиц, представивших неполные или недостоверные сведения о доходах, расходах, об имуществе и обязательствах имущественного характера (своих и/или членов семьи), в отношении которых были приняты дисциплинарные или иные меры воздействия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8AE9" w14:textId="77777777" w:rsidR="00382452" w:rsidRDefault="00066CA0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  <w:p w14:paraId="5855D3D4" w14:textId="32793D54" w:rsidR="00066CA0" w:rsidRDefault="00066CA0" w:rsidP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3E96" w14:textId="030AB818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E0C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96D154F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2D1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9429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C6B07" w14:textId="77777777" w:rsidR="00382452" w:rsidRDefault="009E7F44">
            <w:pPr>
              <w:pStyle w:val="af4"/>
              <w:jc w:val="right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(с указанием, какие именно меры были приняты)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B904" w14:textId="77777777" w:rsidR="001D360E" w:rsidRPr="00066CA0" w:rsidRDefault="001D360E" w:rsidP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з</w:t>
            </w:r>
            <w:r w:rsidRPr="00066CA0"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амечание</w:t>
            </w:r>
          </w:p>
          <w:p w14:paraId="703283D9" w14:textId="6791620C" w:rsidR="001D360E" w:rsidRPr="00066CA0" w:rsidRDefault="001D360E" w:rsidP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в</w:t>
            </w:r>
            <w:r w:rsidRPr="00066CA0"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ыговор</w:t>
            </w:r>
          </w:p>
          <w:p w14:paraId="5CF91A59" w14:textId="77777777" w:rsidR="001D360E" w:rsidRPr="00066CA0" w:rsidRDefault="001D360E" w:rsidP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в</w:t>
            </w:r>
            <w:r w:rsidRPr="00066CA0"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ыговор</w:t>
            </w:r>
          </w:p>
          <w:p w14:paraId="5B74A9F6" w14:textId="77777777" w:rsidR="001D360E" w:rsidRPr="00066CA0" w:rsidRDefault="001D360E" w:rsidP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за</w:t>
            </w:r>
            <w:r w:rsidRPr="00066CA0"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мечание</w:t>
            </w:r>
          </w:p>
          <w:p w14:paraId="3EF2D305" w14:textId="25A93635" w:rsidR="00382452" w:rsidRDefault="001D360E" w:rsidP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 w:rsidRPr="00066CA0">
              <w:rPr>
                <w:rFonts w:ascii="Times New Roman" w:hAnsi="Times New Roman" w:cs="PT Astra Serif"/>
                <w:sz w:val="28"/>
                <w:szCs w:val="28"/>
                <w:lang w:eastAsia="ru-RU"/>
              </w:rPr>
              <w:t>выговор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3AD1" w14:textId="4D452671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08C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F60972F" w14:textId="77777777" w:rsidTr="00FD1A25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74F10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112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Информация об исполнении обязанности служащих, работников уведомлять о возникновении (возможности возникновения) конфликта интересов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DE8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5.3.1. Количество поступивших уведомлений служащих, работников о возникновении личной заинтересованности при исполнении должностных обязанностей, которая: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02C8D" w14:textId="4850C307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ED05" w14:textId="70E09FF5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C3D0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 (с учетом информации, представленной подведомственными предприятиями и учреждениями);</w:t>
            </w:r>
          </w:p>
          <w:p w14:paraId="5A52EB16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власти (в части информации, представленной подведомственными предприятиями и учреждениями);</w:t>
            </w:r>
          </w:p>
          <w:p w14:paraId="3A1193D1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382452" w14:paraId="3CC66DE5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4D33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45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564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5.3.1.1. Приводит к конфликту интересов;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A9F7B" w14:textId="66A02842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2FEF" w14:textId="746561DA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69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6E5232F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2B18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88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429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5.3.1.2. Может привести к конфликту интересов;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87EDAC" w14:textId="29356211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DC18" w14:textId="7067DF1B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3AE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C73B399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837A3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BE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96CE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5.3.2. Количество служащих, работников, уведомивших о возникновении или возможном возникновении у них конфликта интересов;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71BEE" w14:textId="16D49BC1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AB0" w14:textId="5BE6F2D6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88B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53502C7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DAE8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4E0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63F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5.3.3. Количество служащих, работников, которыми (в отношении которых) были приняты меры по предотвращению (урегулированию) конфликта интересов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D2D54" w14:textId="316C4F2E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E5D3" w14:textId="45FEE877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C89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68C0A22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F6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BFF36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A82C7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(с указанием форм предотвращения или урегулирования конфликта интересов)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47BCB3" w14:textId="0ACAFDAB" w:rsidR="00382452" w:rsidRDefault="001D360E" w:rsidP="001D360E">
            <w:pPr>
              <w:pStyle w:val="af4"/>
              <w:snapToGrid w:val="0"/>
              <w:ind w:left="-70" w:right="-168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 w:rsidRPr="001D360E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Выполнение должностных обязанностей</w:t>
            </w: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1D360E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другому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должностному лицу, с отстранением от их исполнения служащего подавшего уведомление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EDF8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9A0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6E2E419" w14:textId="77777777" w:rsidTr="00FD1A25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A368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338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 соблюдении служащими, работниками установленных требований,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C26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5.4.1. Количество служащих, работников, сведения о соблюдении которыми запретов, ограничений и требований, установленных в целях противодействия коррупции, были проанализированы;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1B9" w14:textId="6105776A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C9AF" w14:textId="00E15E3D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0A103E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власти, имеющие самостоятельные кадровые службы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(с учетом информации, представленной подведомственными предприятиями и учреждениями); органы исполнительной власти (в части информации, представленной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подведомственными предприятиями и учреждениями);</w:t>
            </w:r>
          </w:p>
          <w:p w14:paraId="4D1E1A47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местного самоуправления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382452" w14:paraId="64AB6DF1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53F7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9E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A8A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5.4.2. Количество проверок соблюдения служащими, работниками установленных требований, ограничений и запретов, а также требований о предотвращении или урегулировании конфликта интересов;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148" w14:textId="3A0D66AF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622" w14:textId="60E8F17F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B4B1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7EF7867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59B2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B6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4FA6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5.4.3. Количество служащих, работников,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в отношении которых установлены факты несоблюдения установленных требований, ограничений и запретов, а также требований о предотвращении или урегулировании конфликта интересов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4AC0" w14:textId="54DD34BE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9179" w14:textId="63857CD6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9B41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9E09D76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E64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1572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A6BB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(с указанием, какие требования, запреты и ограничения, установленные в целях противодействия коррупции, были нарушены);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387D" w14:textId="0960E993" w:rsidR="00382452" w:rsidRPr="001D360E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 w:rsidRPr="001D360E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связи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с принятием на работу своих родственников; несвоевременное представление сведений о сайтах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E41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D1B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99540BD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A51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1D1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4766A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5.4.4. Количество служащих, работников, привлеченных к ответственности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за несоблюдение установленных запретов, ограничений и требований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7470" w14:textId="65ED5CF4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9B72" w14:textId="13131209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251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EE6273C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6FA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F6B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23FA9CC9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1C9A" w14:textId="46AD89A1" w:rsidR="00382452" w:rsidRPr="001D360E" w:rsidRDefault="00D34571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з</w:t>
            </w:r>
            <w:r w:rsidR="001D360E" w:rsidRPr="001D360E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амечание</w:t>
            </w:r>
          </w:p>
          <w:p w14:paraId="6BD7AD0D" w14:textId="49DB763D" w:rsidR="001D360E" w:rsidRPr="001D360E" w:rsidRDefault="00D34571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з</w:t>
            </w:r>
            <w:r w:rsidR="001D360E" w:rsidRPr="001D360E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амечание</w:t>
            </w:r>
          </w:p>
          <w:p w14:paraId="605D829D" w14:textId="1D36F650" w:rsidR="001D360E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 w:rsidRPr="001D360E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замечание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B8B1" w14:textId="1F021117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619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27ED944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F2A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B47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BDB24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уволенных;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82E598" w14:textId="5E13F174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AED92E" w14:textId="2D565B9A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ED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1CFB35C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E82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3DE6F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FFD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5.4.5. Количество служащих, работников,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отношении которых установлены факты несоблюдения требований о предотвращении или урегулировании конфликта интересов;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1AAF" w14:textId="6A135B8A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305" w14:textId="6504E36B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44A08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A3E4F83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B97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823C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AA5D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5.4.6. Количество служащих, работников, привлеченных к ответственности  за несоблюдение требований о предотвращении или урегулировании конфликта интересов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FF1" w14:textId="03AB9ED8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632" w14:textId="07957879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0273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BCA943F" w14:textId="77777777" w:rsidTr="00FD1A25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343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59A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A510E5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133B" w14:textId="69F9728C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A9CF" w14:textId="0C3B67AB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28D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37CC99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347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8622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C7AE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2578" w14:textId="21AC59E6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3C77" w14:textId="5E04B6F4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933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33F65A5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A8CD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43E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уведомлении служащими представителя нанимателя о выполнении иной оплачиваемой работы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EB35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5.5.1. Количество служащих, которые уведомили о выполнении иной оплачиваемой работы;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448C" w14:textId="6C019BC0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5EBD" w14:textId="75EB9271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551E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 органы местного самоуправления</w:t>
            </w:r>
          </w:p>
        </w:tc>
      </w:tr>
      <w:tr w:rsidR="00382452" w14:paraId="7167D20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DA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AF12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0502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5.5.2. Количество служащих, не уведомивших (несвоевременно уведомивших) при фактическом выполнении иной оплачиваемой деятельности;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CB70" w14:textId="14C114BB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3386" w14:textId="695DF727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591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3FE359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3EB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B28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03AA2C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5.5.3. Количество служащих, привлеченных к дисциплинарной ответственности за нарушение порядка уведомления о выполнении иной оплачиваемой работы, либо не уведомивших представителя нанимателя о выполнении иной оплачиваемой работы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3360" w14:textId="4E4506B3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B819" w14:textId="54DF87FB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93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E516C4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569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BCC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5E665720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548C" w14:textId="491EE6C8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443F" w14:textId="1E7088D8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E00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9752E7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47B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121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2D43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37A2" w14:textId="418853C2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28F5" w14:textId="5E3E8615" w:rsidR="00382452" w:rsidRDefault="00FD1A25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F01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E6A321F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81F2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0983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D65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5.6.1. Количество имеющихся комиссий по соблюдению требований к служебному поведению и урегулированию конфликта интересов (далее - комиссии);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7DE" w14:textId="26020FCC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151" w14:textId="23F8A8B5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908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  <w:r>
              <w:rPr>
                <w:rFonts w:ascii="Times New Roman" w:hAnsi="Times New Roman" w:cs="PT Astra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органы местного самоуправления</w:t>
            </w:r>
          </w:p>
        </w:tc>
      </w:tr>
      <w:tr w:rsidR="00382452" w14:paraId="7BD1738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9D6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B04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FD58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5.6.2. Количество проведенных заседаний комиссий;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F979" w14:textId="3824C22D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955D" w14:textId="156CDD8E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D4C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44478F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1C6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5598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7373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5.6.3. Количество служащих (граждан, ранее замещавших должности служащих),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отношении которых комиссиями рассмотрены: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C45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4F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665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3166BDB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6A2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8D9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C1A2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5.6.3.1. материалы проверок достоверности и полноты представленных сведений о доходах,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расходах, об имуществе и обязательствах имущественного характера;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2D5B" w14:textId="500F2AA7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D2A" w14:textId="7F6552CA" w:rsidR="00382452" w:rsidRDefault="00875A9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7DA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A31A3E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7CC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144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3CDB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5.6.3.2. заявления о невозможности по объективным причинам представить сведения о доходах, расходах, об имуществе и обязательствах имущественного характера на супругу (супруга) и несовершеннолетних детей;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9AB1" w14:textId="70E4208E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38F8" w14:textId="18B30FD0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2C3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84F47E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B22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E1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9FD7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5.6.3.3.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F9BD" w14:textId="7AC1EA42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A17" w14:textId="2872520A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13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78593F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987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244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BF76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5.6.3.4. материалы проверок соблюдения требований к служебному поведению и (или) требований об урегулировании конфликта интересов;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D048" w14:textId="78FD52F0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3FC1" w14:textId="6A614618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 xml:space="preserve">6 </w:t>
            </w:r>
            <w:r w:rsidR="00875A9D"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DB0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10133C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874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9B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99B497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5.6.3.5. заявления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с указанием количества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FBC4" w14:textId="2963C92F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7228" w14:textId="06637A49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4E3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4D9316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73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F7F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790FA38E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разрешений;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762C" w14:textId="7429DD9F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5777" w14:textId="3156F3D3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562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661791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976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2E98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77CC" w14:textId="77777777" w:rsidR="00382452" w:rsidRDefault="009E7F44">
            <w:pPr>
              <w:pStyle w:val="af4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отказов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39B" w14:textId="05281CE5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BCF2" w14:textId="6FD4AD0E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6F6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454F0D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183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AAA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BD1C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 Количество выявленных комиссиями нарушений, в том числе касающихся требований: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98F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F62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301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01959C5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A72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FDC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6BC6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526A" w14:textId="00BDFBAA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AEC" w14:textId="746B84B8" w:rsidR="00382452" w:rsidRDefault="00875A9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C55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B411029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B93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C32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389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5.6.4.2. Об объективности и уважительности причин непредставления сведений о доходах супруги (супруга) и несовершеннолетних детей;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E9B" w14:textId="136C4828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4738" w14:textId="12972BB4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136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3D2477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B6E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BD1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2141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84CB" w14:textId="3C18DE21" w:rsidR="00382452" w:rsidRDefault="001D360E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32D8" w14:textId="4C74572E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4CC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3115FE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594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F4F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E74A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5.6.4.4. К служебному поведению;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F9FD" w14:textId="7A9B3174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65A2" w14:textId="264161CB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C21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A8B2D7B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D49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71E2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D175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5.6.4.5. Об урегулировании конфликта интересов;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2DC7" w14:textId="2EC532CA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EE94" w14:textId="355179AB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81F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665D75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983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F36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02A6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5.6.5.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дисциплинарной ответственности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A13" w14:textId="5E3A4EC4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559" w14:textId="11B5758F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892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D76FF7B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833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A1D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103F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E647" w14:textId="7DEC97CE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FDC5" w14:textId="796B99A8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5AF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6B3522A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FE6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A4D6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8368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5.6.5.2. Об объективности и уважительности причин непредставления сведений о доходах супруги (супруга) и несовершеннолетних детей, чел.;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E235" w14:textId="7888BB89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D24A" w14:textId="2FF2B067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1BD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4B6765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D25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956A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E67C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13A" w14:textId="308F60CB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836A" w14:textId="0C662854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4F1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AE41CEC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1EF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88C7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3553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5.6.5.4. К служебному поведению;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94BB" w14:textId="0781267D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B323" w14:textId="4625C7E0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A1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2F079B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580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3FE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8F22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5.6.5.5. Об урегулировании конфликта интересов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C63E" w14:textId="00AE3B9E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2FE3" w14:textId="3271C068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895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0540FF5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1933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8D93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40D5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5.7.1. Количество поступивших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(далее – подарок);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EBBE" w14:textId="3731C456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2FD" w14:textId="2CA05E41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5B04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власти;</w:t>
            </w:r>
            <w:r>
              <w:rPr>
                <w:rFonts w:ascii="Times New Roman" w:hAnsi="Times New Roman" w:cs="PT Astra Serif"/>
                <w:color w:val="FF0000"/>
                <w:sz w:val="26"/>
                <w:szCs w:val="26"/>
              </w:rPr>
              <w:t xml:space="preserve"> </w:t>
            </w:r>
          </w:p>
          <w:p w14:paraId="588E90C1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382452" w14:paraId="2D82C263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0DA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65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F8E3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5.7.2. Количество сданных подарков;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ED2B" w14:textId="0B45E9F8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2FC9" w14:textId="1F4C9CCA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F7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B06CFF4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235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60A2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E305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5.7.3. Количество поступивших заявлений о выкупе подарка;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B2F" w14:textId="142D7C0E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F824" w14:textId="5927A2D6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6D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0B46C5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7FC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FC9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34C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5.7.4. Количество подарков, возвращенных служащим (без учета выкупленных подарков);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56C9" w14:textId="2FFCD7F7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16DD" w14:textId="609EC115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FED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23CE1EA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472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BC9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C593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5.7.5. Количество выкупленных подарков;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CEE" w14:textId="11F5DF06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0699" w14:textId="45623E8F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080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1454CE6A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6F6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82E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A96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5.7.6. Общая сумма, полученная по итогам выкупа подарков, тыс. руб.;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9A74" w14:textId="207996D0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2570" w14:textId="6506DE6C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169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F2F81DA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826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ED8C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0F0B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5.7.7. Количество реализованных подарков;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E425" w14:textId="739B74CA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66C2" w14:textId="538FB358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227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E4D59ED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78B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BDC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7FD1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5.7.8. Общая сумма, полученная по итогам реализации подарков, тыс. руб.;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1B36" w14:textId="2DDC514F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DFDA" w14:textId="4AE01634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83F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B9D710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AAD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0D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8F1F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5.7.9. Количество подарков, переданных на баланс благотворительных организаций;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6464" w14:textId="78281B23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18C9" w14:textId="11C09D90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A34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78DE587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F77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BB1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5A69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5.7.10. Количество уничтоженных подарков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42D1" w14:textId="35A60CF2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0925" w14:textId="25695A88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9347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C068432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6AF9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5.8.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A0E8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C4F1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5.8.1. Количество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112B" w14:textId="3E4B63E0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5A44" w14:textId="55C2D63E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ACA8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4AAA8D96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382452" w14:paraId="64BF6F2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175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CEF4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2D9A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5.8.2. Количество рассмотренных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20F2" w14:textId="6D43588C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C000" w14:textId="2EA1E343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A2E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ADD8A2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1E7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1D5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33E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5.8.3. Количество материалов, направленных в правоохранительные органы по результатам рассмотрения уведомлений;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E4BA" w14:textId="4BA8DA56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90EE" w14:textId="139859E8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E0B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2D3F207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C02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8AC3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43F8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5.8.4. Количество уголовных дел, возбужденных по результатам рассмотрения уведомлений;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E81" w14:textId="27CCE93D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130" w14:textId="56BDE795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1C5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B2F4738" w14:textId="77777777" w:rsidTr="006A4D6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D30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3ACC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6FDFE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5.8.5. Количество лиц, привлеченных к уголовной ответственности по результатам рассмотрения уведомлений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AD49C" w14:textId="7B1C9463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4E9F" w14:textId="4E6A11D9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FD7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3F4DCFE4" w14:textId="77777777" w:rsidTr="006A4D6D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C27C2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3FC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 реализации требований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статьи 12 Федерального закона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«О противодействии коррупции»</w:t>
            </w:r>
          </w:p>
          <w:p w14:paraId="688BB176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(ограничения, налагаемые на гражданина, замещавшего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должность государственной или муниципальной службы (далее – бывший служащий), при заключении им трудового или гражданско-правового договора)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F0AE" w14:textId="77777777" w:rsidR="00382452" w:rsidRDefault="009E7F44">
            <w:pPr>
              <w:pStyle w:val="af4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5.9.1. Общее количество служащих;</w:t>
            </w:r>
          </w:p>
          <w:p w14:paraId="47D523DE" w14:textId="77777777" w:rsidR="00382452" w:rsidRDefault="00382452">
            <w:pPr>
              <w:autoSpaceDE w:val="0"/>
              <w:spacing w:after="0" w:line="240" w:lineRule="auto"/>
              <w:jc w:val="both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1A0" w14:textId="4104DF45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59922" w14:textId="4877F3FB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74E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органы местного самоуправления </w:t>
            </w:r>
          </w:p>
        </w:tc>
      </w:tr>
      <w:tr w:rsidR="00382452" w14:paraId="3A955569" w14:textId="77777777" w:rsidTr="006A4D6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D2EA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C5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E42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5.9.2. Общее количество уволенных служащих в течение предшествующих двух лет;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19C" w14:textId="6A0CBEA2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F9A07" w14:textId="3A4E8D1D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B58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35E2224" w14:textId="77777777" w:rsidTr="006A4D6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A74AA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73A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22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5.9.3. Общее количество бывших служащих,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о трудоустройстве которых сообщено работодателем;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83C" w14:textId="6AE44C5D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B4C1FD" w14:textId="749DA9CA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123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F4C3CA9" w14:textId="77777777" w:rsidTr="006A4D6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50A35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F10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9B30" w14:textId="77777777" w:rsidR="00382452" w:rsidRDefault="009E7F4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5.9.4. Общее количество бывших служащих, обратившихся в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комиссию по соблюдению требований к служебному поведению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государственных гражданских служащих аппарата Губернатора Приморского края и Правительства Приморского края, органов исполнительной власти Приморского края и урегулированию конфликта интересов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за согласием на трудоустройство,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C5F" w14:textId="53528132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CA3D9" w14:textId="5F879634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6E8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73BDB609" w14:textId="77777777" w:rsidTr="006A4D6D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21F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FE3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6D61" w14:textId="77777777" w:rsidR="00382452" w:rsidRDefault="009E7F44">
            <w:pPr>
              <w:autoSpaceDE w:val="0"/>
              <w:spacing w:after="0" w:line="240" w:lineRule="auto"/>
              <w:jc w:val="right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из них получивших отказ;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D1F7" w14:textId="1F334D48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E59E" w14:textId="6F9A316A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C606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ED008CE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9CD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1E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30C" w14:textId="77777777" w:rsidR="00382452" w:rsidRDefault="009E7F44">
            <w:pPr>
              <w:autoSpaceDE w:val="0"/>
              <w:spacing w:after="0" w:line="240" w:lineRule="auto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5.9.5. Общее количество бывших служащих, в отношении трудоустройства которых информация была направлена в органы прокуратуры, в том числе в связи с отсутствием сведений о трудоустройстве в течение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шести месяцев после увольнения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728F" w14:textId="0E288F23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B191" w14:textId="09669843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C47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0A211C4C" w14:textId="7777777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93F1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64AE3481" w14:textId="77777777" w:rsidR="00382452" w:rsidRDefault="009E7F44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 Анализ наличия родственных и (или) близких связей между служащими, работниками объектов антикоррупционного мониторинга</w:t>
            </w:r>
          </w:p>
        </w:tc>
      </w:tr>
      <w:tr w:rsidR="00382452" w14:paraId="1A01936C" w14:textId="77777777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4483" w14:textId="77777777" w:rsidR="00382452" w:rsidRDefault="009E7F44">
            <w:pPr>
              <w:pStyle w:val="af4"/>
              <w:jc w:val="center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1235" w14:textId="77777777" w:rsidR="00382452" w:rsidRDefault="009E7F44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Проведение анализа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родственных и (или) близких связей между служащими, работниками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5311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6.1.1. Количество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проверок на наличие родственных и (или) близких связей со служащими государственных (муниципальных) органов и подведомственных им учреждений и предприятий, являющихся объектами антикоррупционного мониторинга, проведенных при трудоустройстве либо поступлении граждан на государственную гражданскую службу, муниципальную службу, в соответствующий орган или учреждение (предприятие);</w:t>
            </w:r>
          </w:p>
          <w:p w14:paraId="14C6AEE3" w14:textId="77777777" w:rsidR="00382452" w:rsidRDefault="009E7F44">
            <w:pPr>
              <w:pStyle w:val="af4"/>
              <w:jc w:val="both"/>
              <w:rPr>
                <w:rFonts w:ascii="Times New Roman" w:eastAsia="PT Astra Serif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PT Astra Serif" w:hAnsi="Times New Roman" w:cs="PT Astra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E9AC" w14:textId="43CB709E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2F98" w14:textId="3A610911" w:rsidR="00382452" w:rsidRDefault="00875A9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B855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2FA64DC0" w14:textId="77777777" w:rsidR="00382452" w:rsidRDefault="009E7F44">
            <w:pPr>
              <w:pStyle w:val="af4"/>
              <w:jc w:val="center"/>
              <w:rPr>
                <w:rFonts w:ascii="Times New Roman" w:hAnsi="Times New Roman" w:cs="PT Astra Serif"/>
                <w:sz w:val="26"/>
                <w:szCs w:val="26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власти, имеющие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 xml:space="preserve">самостоятельные кадровые службы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(с учетом информации, представленной подведомственными предприятиями и учреждениями); 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органы местного самоуправления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382452" w14:paraId="58A89D4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5373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4BF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9090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6.1.2. Количество нарушений, выявленных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 в ходе проведения проверок, указанных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подпункте 6.1.1 настоящего пункта;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9684" w14:textId="6EAC3763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1FC2" w14:textId="3FEBF36B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1084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C6E6BC9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7F7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8CB8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C0F" w14:textId="77777777" w:rsidR="00382452" w:rsidRDefault="009E7F44">
            <w:pPr>
              <w:pStyle w:val="af4"/>
              <w:jc w:val="both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6.1.3. Количество граждан, которым отказано в замещении должности или выполнении работы по результатам проведения проверок, указанных в подпункте 6.1.1 настоящего пункта;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24A6" w14:textId="5FD5B092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E60C" w14:textId="59E628BC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2A0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E65A2FF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EEC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7D0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0727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6.1.4. Количество трудовых договоров и (или) гражданско-правовых договоров, расторгнутых по результатам проведения проверок, указанных в подпункте 6.1.1 настоящего пункта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30F3" w14:textId="23E3C88D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7C38" w14:textId="6DB59E78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50C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29349C10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F139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05B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F2D2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6.1.5. Количество сотрудников, работников, проверенных на наличие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родственных и (или) близких связей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23B" w14:textId="1088A13D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8982" w14:textId="688A968A" w:rsidR="00382452" w:rsidRDefault="00875A9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58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4BF921F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DA7E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F4F5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508" w14:textId="77777777" w:rsidR="00382452" w:rsidRDefault="009E7F44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6.1.6. Количество выявленных фактов родственных или близких связей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 между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8F6D" w14:textId="649E6A5D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3B9D" w14:textId="6B8D4A31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C8FB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1A23B1A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15C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851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D9BEA0" w14:textId="77777777" w:rsidR="00382452" w:rsidRDefault="009E7F44">
            <w:pPr>
              <w:pStyle w:val="af4"/>
              <w:jc w:val="both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6.1.7. Принятые меры: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DC10" w14:textId="29B8F5EF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6C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9FC0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6DE9E251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30A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740D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27BB05B1" w14:textId="77777777" w:rsidR="00382452" w:rsidRDefault="009E7F44">
            <w:pPr>
              <w:pStyle w:val="af4"/>
              <w:jc w:val="right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по устранению выявленных нарушений;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3184" w14:textId="2C635D62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631A" w14:textId="26642985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C798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382452" w14:paraId="5E835BA2" w14:textId="77777777"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DEF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1DE" w14:textId="77777777" w:rsidR="00382452" w:rsidRDefault="00382452">
            <w:pPr>
              <w:pStyle w:val="af4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588" w14:textId="77777777" w:rsidR="00382452" w:rsidRDefault="009E7F44">
            <w:pPr>
              <w:pStyle w:val="af4"/>
              <w:jc w:val="right"/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по предотвращению аналогичных нарушений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B1FA" w14:textId="7B024C25" w:rsidR="00382452" w:rsidRDefault="008E31E8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890D" w14:textId="6B99A68F" w:rsidR="00382452" w:rsidRDefault="006A4D6D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B1A2" w14:textId="77777777" w:rsidR="00382452" w:rsidRDefault="00382452">
            <w:pPr>
              <w:pStyle w:val="af4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</w:tbl>
    <w:p w14:paraId="705F3023" w14:textId="77777777" w:rsidR="00382452" w:rsidRDefault="00382452">
      <w:pPr>
        <w:pStyle w:val="af4"/>
        <w:ind w:firstLine="709"/>
        <w:jc w:val="center"/>
        <w:rPr>
          <w:rFonts w:ascii="Times New Roman" w:hAnsi="Times New Roman" w:cs="PT Astra Serif"/>
          <w:b/>
          <w:sz w:val="28"/>
          <w:szCs w:val="28"/>
          <w:lang w:eastAsia="ru-RU"/>
        </w:rPr>
      </w:pPr>
    </w:p>
    <w:sectPr w:rsidR="00382452">
      <w:headerReference w:type="default" r:id="rId7"/>
      <w:headerReference w:type="first" r:id="rId8"/>
      <w:pgSz w:w="16838" w:h="11906" w:orient="landscape"/>
      <w:pgMar w:top="1134" w:right="1134" w:bottom="993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28276" w14:textId="77777777" w:rsidR="0073426C" w:rsidRDefault="0073426C">
      <w:pPr>
        <w:spacing w:after="0" w:line="240" w:lineRule="auto"/>
      </w:pPr>
      <w:r>
        <w:separator/>
      </w:r>
    </w:p>
  </w:endnote>
  <w:endnote w:type="continuationSeparator" w:id="0">
    <w:p w14:paraId="7CA54E87" w14:textId="77777777" w:rsidR="0073426C" w:rsidRDefault="0073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;DejaVu Sans">
    <w:altName w:val="Cambria"/>
    <w:panose1 w:val="00000000000000000000"/>
    <w:charset w:val="00"/>
    <w:family w:val="roman"/>
    <w:notTrueType/>
    <w:pitch w:val="default"/>
  </w:font>
  <w:font w:name="Times New Roman;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;Noto Naskh Arabic">
    <w:panose1 w:val="00000000000000000000"/>
    <w:charset w:val="00"/>
    <w:family w:val="roman"/>
    <w:notTrueType/>
    <w:pitch w:val="default"/>
  </w:font>
  <w:font w:name="Courier New;DejaVu Sans">
    <w:altName w:val="Courier New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4348" w14:textId="77777777" w:rsidR="0073426C" w:rsidRDefault="0073426C">
      <w:pPr>
        <w:spacing w:after="0" w:line="240" w:lineRule="auto"/>
      </w:pPr>
      <w:r>
        <w:separator/>
      </w:r>
    </w:p>
  </w:footnote>
  <w:footnote w:type="continuationSeparator" w:id="0">
    <w:p w14:paraId="5B7DC9F1" w14:textId="77777777" w:rsidR="0073426C" w:rsidRDefault="0073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806D8" w14:textId="77777777" w:rsidR="00FD1A25" w:rsidRDefault="00FD1A25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076B53A8" w14:textId="77777777" w:rsidR="00FD1A25" w:rsidRDefault="00FD1A25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43521" w14:textId="77777777" w:rsidR="00FD1A25" w:rsidRDefault="00FD1A2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E90"/>
    <w:multiLevelType w:val="multilevel"/>
    <w:tmpl w:val="FBCEBF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52"/>
    <w:rsid w:val="00066CA0"/>
    <w:rsid w:val="001D360E"/>
    <w:rsid w:val="002611E7"/>
    <w:rsid w:val="00382452"/>
    <w:rsid w:val="003A7D1A"/>
    <w:rsid w:val="00637C0A"/>
    <w:rsid w:val="006A4D6D"/>
    <w:rsid w:val="0073426C"/>
    <w:rsid w:val="00862257"/>
    <w:rsid w:val="00875A9D"/>
    <w:rsid w:val="008E31E8"/>
    <w:rsid w:val="00963EE4"/>
    <w:rsid w:val="009C080E"/>
    <w:rsid w:val="009E7F44"/>
    <w:rsid w:val="00CC430E"/>
    <w:rsid w:val="00D34571"/>
    <w:rsid w:val="00F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4F81"/>
  <w15:docId w15:val="{B0979E91-9016-4F85-9412-459A80C3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4" w:lineRule="auto"/>
    </w:pPr>
    <w:rPr>
      <w:rFonts w:ascii="Calibri;DejaVu Sans" w:eastAsia="Calibri;DejaVu Sans" w:hAnsi="Calibri;DejaVu Sans" w:cs="Times New Roman;DejaVu Sans"/>
      <w:sz w:val="22"/>
      <w:szCs w:val="22"/>
      <w:lang w:eastAsia="en-US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;DejaVu Sans" w:eastAsia="Times New Roman;DejaVu Sans" w:hAnsi="Times New Roman;DejaVu Sans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;DejaVu Sans" w:eastAsia="Times New Roman;DejaVu Sans" w:hAnsi="Times New Roman;DejaVu San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;DejaVu Sans" w:eastAsia="Times New Roman;DejaVu Sans" w:hAnsi="Times New Roman;DejaVu Sans" w:cs="Times New Roman;DejaVu San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qFormat/>
    <w:rPr>
      <w:rFonts w:ascii="Times New Roman;DejaVu Sans" w:eastAsia="Times New Roman;DejaVu Sans" w:hAnsi="Times New Roman;DejaVu Sans" w:cs="Times New Roman;DejaVu Sans"/>
      <w:b/>
      <w:bCs/>
      <w:sz w:val="27"/>
      <w:szCs w:val="27"/>
      <w:lang w:eastAsia="ru-RU"/>
    </w:rPr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выноски Знак"/>
    <w:basedOn w:val="a0"/>
    <w:qFormat/>
    <w:rPr>
      <w:rFonts w:ascii="Segoe UI;Noto Naskh Arabic" w:hAnsi="Segoe UI;Noto Naskh Arabic" w:cs="Segoe UI;Noto Naskh Arabic"/>
      <w:sz w:val="18"/>
      <w:szCs w:val="18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Верхний колонтитул Знак"/>
    <w:basedOn w:val="a0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HTML">
    <w:name w:val="Стандартный HTML Знак"/>
    <w:basedOn w:val="a0"/>
    <w:qFormat/>
    <w:rPr>
      <w:rFonts w:ascii="Courier New;DejaVu Sans" w:eastAsia="Times New Roman;DejaVu Sans" w:hAnsi="Courier New;DejaVu Sans" w:cs="Courier New;DejaVu Sans"/>
      <w:sz w:val="20"/>
      <w:szCs w:val="20"/>
      <w:lang w:eastAsia="ru-RU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;Arial" w:eastAsia="Tahoma" w:hAnsi="Liberation Sans;Arial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;Noto Naskh Arabic" w:hAnsi="Segoe UI;Noto Naskh Arabic" w:cs="Segoe UI;Noto Naskh Arabic"/>
      <w:sz w:val="18"/>
      <w:szCs w:val="18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a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;DejaVu Sans" w:eastAsia="Times New Roman;DejaVu Sans" w:hAnsi="Courier New;DejaVu Sans" w:cs="Courier New;DejaVu Sans"/>
      <w:sz w:val="20"/>
      <w:szCs w:val="20"/>
      <w:lang w:eastAsia="ru-RU"/>
    </w:rPr>
  </w:style>
  <w:style w:type="paragraph" w:styleId="af4">
    <w:name w:val="No Spacing"/>
    <w:qFormat/>
    <w:rPr>
      <w:rFonts w:ascii="Calibri;DejaVu Sans" w:eastAsia="Calibri;DejaVu Sans" w:hAnsi="Calibri;DejaVu Sans" w:cs="Times New Roman;DejaVu Sans"/>
      <w:sz w:val="22"/>
      <w:szCs w:val="22"/>
      <w:lang w:eastAsia="en-US" w:bidi="ar-SA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Стецуренко Полина Леонидовна</dc:creator>
  <dc:description/>
  <cp:lastModifiedBy>KovalTV</cp:lastModifiedBy>
  <cp:revision>2</cp:revision>
  <cp:lastPrinted>2020-12-26T05:40:00Z</cp:lastPrinted>
  <dcterms:created xsi:type="dcterms:W3CDTF">2023-01-24T23:19:00Z</dcterms:created>
  <dcterms:modified xsi:type="dcterms:W3CDTF">2023-01-24T23:19:00Z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