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0" w:rsidRPr="00CE45F2" w:rsidRDefault="00612C10" w:rsidP="00612C1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1BEED08" wp14:editId="249820E0">
            <wp:simplePos x="0" y="0"/>
            <wp:positionH relativeFrom="column">
              <wp:posOffset>741045</wp:posOffset>
            </wp:positionH>
            <wp:positionV relativeFrom="paragraph">
              <wp:posOffset>-618490</wp:posOffset>
            </wp:positionV>
            <wp:extent cx="542925" cy="80962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72"/>
        <w:gridCol w:w="1129"/>
        <w:gridCol w:w="2409"/>
        <w:gridCol w:w="3969"/>
      </w:tblGrid>
      <w:tr w:rsidR="00612C10" w:rsidRPr="00CE45F2" w:rsidTr="00317DEC">
        <w:trPr>
          <w:cantSplit/>
          <w:trHeight w:val="2371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C10" w:rsidRPr="00CE45F2" w:rsidRDefault="00612C10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12C10" w:rsidRPr="00CE45F2" w:rsidRDefault="00612C10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ЧУГУЕВСКОГО</w:t>
            </w:r>
            <w:r w:rsidRPr="00CE4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612C10" w:rsidRPr="00CE45F2" w:rsidRDefault="00612C10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ПРИМОРСКОГО КРАЯ</w:t>
            </w:r>
          </w:p>
          <w:p w:rsidR="00612C10" w:rsidRPr="00CE45F2" w:rsidRDefault="00317DEC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ОТДЕЛ</w:t>
            </w:r>
          </w:p>
          <w:p w:rsidR="00612C10" w:rsidRPr="00CE45F2" w:rsidRDefault="00612C10" w:rsidP="0088541B">
            <w:pPr>
              <w:keepNext/>
              <w:tabs>
                <w:tab w:val="left" w:pos="2977"/>
              </w:tabs>
              <w:spacing w:after="0" w:line="60" w:lineRule="exact"/>
              <w:outlineLvl w:val="1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612C10" w:rsidRPr="00CE45F2" w:rsidRDefault="00612C10" w:rsidP="002F7201">
            <w:pPr>
              <w:tabs>
                <w:tab w:val="left" w:pos="2977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50 лет Октября,</w:t>
            </w:r>
            <w:r w:rsidR="00317D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 </w:t>
            </w: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193, с. Чугуевка,</w:t>
            </w:r>
            <w:r w:rsidR="00317D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317DEC"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692623</w:t>
            </w:r>
          </w:p>
          <w:p w:rsidR="00612C10" w:rsidRPr="00E44EE7" w:rsidRDefault="00612C10" w:rsidP="002F720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тел</w:t>
            </w:r>
            <w:r w:rsidRPr="00E44EE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(42372) 21-2-98</w:t>
            </w:r>
          </w:p>
          <w:p w:rsidR="00612C10" w:rsidRDefault="00612C10" w:rsidP="00317DEC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317DE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317DE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hyperlink r:id="rId9" w:history="1">
              <w:r w:rsidR="00317DEC" w:rsidRPr="00D70AA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pravo_mo_shpk@mail.primorye.ru</w:t>
              </w:r>
            </w:hyperlink>
          </w:p>
          <w:p w:rsidR="00317DEC" w:rsidRPr="00317DEC" w:rsidRDefault="00317DEC" w:rsidP="00317DEC">
            <w:pPr>
              <w:spacing w:after="0" w:line="16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10" w:rsidRPr="00317DEC" w:rsidRDefault="00612C10" w:rsidP="002F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7D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    </w:t>
            </w:r>
          </w:p>
          <w:p w:rsidR="00612C10" w:rsidRPr="00317DEC" w:rsidRDefault="00612C10" w:rsidP="002F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</w:pPr>
          </w:p>
          <w:p w:rsidR="00612C10" w:rsidRPr="00317DEC" w:rsidRDefault="00612C10" w:rsidP="002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10" w:rsidRPr="00691D0D" w:rsidRDefault="00612C10" w:rsidP="002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аппарата</w:t>
            </w:r>
          </w:p>
          <w:p w:rsidR="00612C10" w:rsidRPr="00691D0D" w:rsidRDefault="00612C10" w:rsidP="002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691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</w:t>
            </w:r>
            <w:proofErr w:type="spellEnd"/>
          </w:p>
          <w:p w:rsidR="00612C10" w:rsidRPr="00691D0D" w:rsidRDefault="00612C10" w:rsidP="002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612C10" w:rsidRPr="00691D0D" w:rsidRDefault="00612C10" w:rsidP="002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2C10" w:rsidRPr="00CE45F2" w:rsidRDefault="00612C10" w:rsidP="002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Т.В. Коваль</w:t>
            </w:r>
          </w:p>
        </w:tc>
      </w:tr>
      <w:tr w:rsidR="00612C10" w:rsidRPr="00CE45F2" w:rsidTr="00317DEC">
        <w:trPr>
          <w:cantSplit/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10" w:rsidRPr="00D7588C" w:rsidRDefault="00920256" w:rsidP="006D3B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18.05.2018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:rsidR="00612C10" w:rsidRPr="00D7588C" w:rsidRDefault="00920256" w:rsidP="006D3B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81</w:t>
            </w:r>
            <w:r w:rsidR="00B66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/</w:t>
            </w:r>
            <w:r w:rsidR="00317DEC" w:rsidRPr="00D7588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C10" w:rsidRPr="00CE45F2" w:rsidTr="00317DEC">
        <w:trPr>
          <w:cantSplit/>
          <w:trHeight w:val="8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C10" w:rsidRPr="00CE45F2" w:rsidTr="00317DEC">
        <w:trPr>
          <w:cantSplit/>
          <w:trHeight w:hRule="exact" w:val="7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</w:tr>
    </w:tbl>
    <w:p w:rsidR="00612C10" w:rsidRPr="005947FF" w:rsidRDefault="00612C10" w:rsidP="00612C10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10" w:rsidRPr="00645131" w:rsidRDefault="00612C10" w:rsidP="0061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5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B94EB2" w:rsidRPr="00330014" w:rsidRDefault="00612C10" w:rsidP="0061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правоприменительной практике законодательства </w:t>
      </w:r>
    </w:p>
    <w:p w:rsidR="00612C10" w:rsidRPr="00330014" w:rsidRDefault="00612C10" w:rsidP="0061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противодействия коррупции</w:t>
      </w:r>
    </w:p>
    <w:p w:rsidR="00612C10" w:rsidRPr="005947FF" w:rsidRDefault="00612C10" w:rsidP="006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F" w:rsidRPr="005947FF" w:rsidRDefault="005947FF" w:rsidP="006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82" w:rsidRPr="002F7201" w:rsidRDefault="00266182" w:rsidP="0026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следует из п. 5 ст. 3 Закона N 237-ФЗ, одним из принципов противодействия коррупции в Российской Федерации является комплексное использование п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литических, организационных, информационно-пропагандистских, социально-экономических, прав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вых, специальных и иных мер.</w:t>
      </w:r>
    </w:p>
    <w:p w:rsidR="00266182" w:rsidRPr="002F7201" w:rsidRDefault="00266182" w:rsidP="0026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п. 2.1 ст. 6 Закона N 273-ФЗ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ления, других органах, организациях, наделенных федеральным законом отдельными го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ударственными или иными публичными полномочиями, не реже одного раза в квартал 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просов правоприменительной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шений судов, арбитражных судов о признании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недействительными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ненормативных прав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актов, незаконными решений и действий (бездействия) указанных органов, организ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ций и их должностных лиц в целях выработки и принятия мер по предупреждению и устранению причин выявленных нарушений.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указанной нормы в юридическом отделе в 1 квартале 2018 года были 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смотрены следующие судебные решения: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лицом, замещающим (занимающим) одну из должностей, ук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занную в Федеральном законе «О контроле за соответствием расходов лиц, 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мещающих государственные должности, и иных лиц их доходам»,  сведений, подтверждающих 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обретение на законные доходы земельных участков, других объектов недвижимости, 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транспортных средств, ценных бумаг, акции (долей участия, паев в уставных (складочных) капиталах организаций), является основанием для обращения указанного имущества в 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Российской Федерации:</w:t>
      </w:r>
      <w:proofErr w:type="gramEnd"/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Первореченского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г. Владивостока Приморского края от 16 января 2018 г. № 2-169/2018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Прокурор Приморского края обратился в суд гражданке К. об обращении в доход Росси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принадлежащего ей транспортного средства.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обоснование требований указал, что прокуратурой проведена проверка соблюд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Федерального закона «О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расходов лиц, замещающих гос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дарственные должности и иных лиц их доходами» лицами, замещающими должности к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тегории «руководители» в Управлении Минюста России по Приморскому краю (далее – Управление). По результатам проверки установлено, что начальник отдела государстве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службы и кадров Управления гра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данка К., приобрела в собственность автомобиль, стоимость автомобиля, согласно договору купли-продажи 110 000 рублей. Между тем, в соответствии с информацией, пре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ставленной Владивостокской таможней, цена указанной автомашины, т.е. ее там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женная стоимость составила 553 899 рублей, сумма таможенных платежей - 396 866 рублей. При этом, в состав данных платежей не включены затраты, св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занные с приобретением автомашины в Японии, ее доставкой и оформлением. Также 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гласно объявлению о продаже данной автомашины, размещенному в сети Интернет, фа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тическая и заявленная предыдущим владельцем стоимость автомашины 1 400 000 рублей, что превышает общий доход гражданки К. и ее супруга за три года, предшествующих году сове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сделки по покупке автомобиля.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Федеральному закону «О контроле за соответствием расходов лиц, зам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щающих государственные должности, и иных лиц их доходам», лицо, замещающее (зан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мающее) одну из должностей государственной службы, включенных в перечни, устано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ленные законами, иными нормативными правовыми актами субъектов Российской Фед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и муниципальными нормативными правовыми актами, обязано представлять свед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 своих расходах, а также о расходах своих супруги (супруга) и несовершеннолетних детей по каждой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сделке по приобретению земельного участка, другого объекта недвиж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мости, транспортного средства, ценных бумаг, акций (долей участия, паев в уставных (складочных) капиталах организаций), совершенной им, его супр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гой (супругом) и (или) несовершеннолетними детьми в течение календарного года, предшествующего году пре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сведений, если общая сумма таких сделок превышает общий доход данного 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ца и его супруги (с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пруга) за три последних года, предшествующих отчетному периоду, и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источн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ках получения средств, за счет которых совершены эти сделки. 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осуществления Управлением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расходами гражда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К., факт непредставления сведений о расходах не установлен ввиду отсутствия подтвержде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сведений о приобретении автомашины по цене, отличной от указанной в договоре купли-продажи автомашины. Также не установлен факт несоответствия расходов, пон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сенных на приобретение указанной автомашины, общему доходу гражданки К. и ее супр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га за три последних года, предшествующих году совершения сделки по покупке автом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шины.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Доказательств, приобретения автомашины на законные доходы гражданка К. не представила, это обстоятельство является основанием для применения такой меры гра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данско-правовой ответственности, как обращение имущества в доход государства. Зако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доходы (применительно к законодательству Российской Федерации о противоде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коррупции) - это доходы, происхождение которых  докуме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тально подтверждено. Все полученные доходы должны быть указаны в соотве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ствующих справках.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 контроле за соответствием расходов лиц, замещающих государственные должности, и иных лиц их доходам» имущество, в 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ношении которого государственным (муниципальным) служащим, иным лицом не пре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ставлено сведений, подтверждающих его приобретение на законные доходы, подлежит изъятию в целом, независимо от того, что в какой-то ч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затраты на его приобретение могли быть произведены из законных доходов.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совершение коррупц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правонарушений, должна быть неотвратимой. Это один из принципов противоде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коррупции в Российской Фед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рации. Отсутствие соответствующих доказательств переводит соответствующие 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ходы в разряд незаконных, а имущество, приобретенное на них, подлежит обращ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в доход государства.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удовлетворил исковые требования прокурора об обращении транспортного средства гражданки К. в доход Российской Федерации.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Непринятие мер государственным (муниципальным) служащим по урегулиров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является основанием для привлечения к ответстве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ности: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Смирныховского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от 28 декабря 2017 г. № 2-881/2017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Прокурор района, обратился в суд с иском к главе муниципального образования г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родской округ «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Смирныховский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МО ГО) о признании незаконным распоряжения 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 применении дисциплинарного взыскания» в части привлечения председателя комитета по управлению муниципальной собственностью (далее - председатель комитета) МО ГО к дисциплинарной ответственности в виде выговора, возложении обязанности привлечь председателя комитета к дисциплинарной ответственности в виде увольнения в связи с утратой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доверия.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главы МО ГО председатель комитета принят на работу в 2005 году.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поступило заявление гражданки И., являющейся супругой председателя ком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тета о пред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 в безвозмездное пользование в соответствие с требованиями Федерального закона «Об особенностях предоставления гражданам земел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участков, находящихся в государственной или муниципальной собственности и 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положенных на территориях субъектов РФ, входящих в состав Дальневосточного фед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округа, и о внесении изменений в отдел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законодательства акты РФ», которое принял лично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комитета. По 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заявления заключен договор безвозмездного пользования земельным участником. При этом председатель к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митета, в полномочия которого входит проверка и рассмотрение заявлений граждан, в нарушение требований законодательства проверочные мероприятия на наличия или отсу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оснований для отказа в предоставлении земельного участка в безвозмездное польз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не пров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дил, и договор с гражданкой И. был заключен в кратчайшие сроки.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супругой председателя комитета прав на земельные участки образует личную заинтересованность, и действия (бездействие) председателя комитета по принятию заявления супруги и заключению с ней договора безвозмездного пол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земельным участком. Не проведение предусмотренных действующим законодательством проверок 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сутствия оснований для отказа в предоставлении земельного участка в безвозмездное пользование, может повлечь конфликт интересов. Кроме того, председатель комитета ув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домление о возникновении личной заинтер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сованности при исполнении своих служебных обязанностей, которая может повлечь конфликт интересов, представителю нанимателя не направлял и меры по недопущению и урегулированию ко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фликта интересов не принял.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Прокурором района вынесено представление, по результатам рассмотрения которого председатель комитета подвернут дисциплинарному взысканию в виде «выговора».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«О муниципальной службе в Росси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Федерации» при установлении факта нарушения требований действующего законодательства о предотвращении или об урегулировании конфликта интересов, рабо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 должен быть уволен в связи с утратой доверия.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«О муниципальной службе в Российской Федерации» уст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новлено, что муниципальный служащий обязан уведомлять в письменной форме предст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вителя нанимателя (работодателя) о личной заинтересованности при исполнении дол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ностных обязанностей, которая может привести к конфликту интер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 и принимать меры по предотвращению подобного конфликта. Данная обязанность предусмотрена Федерал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законом «О противодействии корру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ции».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«О противодействии коррупции» определено, что под ко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фликтом интересов понимается ситуация, при которой личная заинтересова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(прямая или косвенная) лица, замещающего должность, замещение которой предусматривает об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занность принимать меры по предотвращению и урегулиров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Обязанность 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нимать меры по предотвращению и урегул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рованию конфликта интересов возлагается в том числе, на государственных и муниципальных служащих.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Непринятие муниципальным служащим, являющимся стороной конфликта интер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 мер по предотвращению или урегулированию конфликта интересов является правон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рушением, влекущим только один вид взыскания увольнение мун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служащего с муниципальной службы в связи с утратой доверия. Нормы закона о применении в данном случае взыскания только в виде увольнения является императивной, предусматривает неотвратимость ответственности за совершение коррупционных правонарушений.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женным достигается цель профилактики коррупции (в рамках контроля государства за имущественным положением государственных служ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щих).</w:t>
      </w:r>
      <w:proofErr w:type="gramEnd"/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удовлетворил исковые требования прокурора района. Признал незаконным 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поряжение «О применении дисциплинарного взыскания» в части привлечения председат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комитета к дисциплинарной ответственности в виде выговора и обязал главу МО ГО привлечь председателя комитета к дисциплинарной отве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ственности в виде увольнения в связи с утратой доверия.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Злоупотребление должностными полномочиями, превышение должностных по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номочий государственными (муниципальными) служащими является основанием для 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влечения к уг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ловной ответственности: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Приговор Новгородского районного суда от 16 октября 2017 г. по делу № 1-662/2017 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Законом Российской Федерации «О недрах», одним из оснований возникновения права пользования участками недр является принятое в соответствии с 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конодательством субъекта РФ решение органа государственной власти субъекта РФ о предоставлении по результатам аукциона права на разведку и добычу общераспростране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полезных ископаемых или на геологическое изучение, разведку и добычу общера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пространенных полезных ископаемых на участках недр, содержащих месторождения 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щераспространенных полезных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ископаемых, или участках недр местного значения. Пор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 предоставления недр для разработки м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сторождений общераспространенных полезных ископаемых, порядок пользования недрами юридическими лицами и гражданами в гран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цах предоставленных им земельных участков с целью добычи общераспространенных п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ископаемых, устанавливаются законами и иными нормативными правовыми акт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субъектов РФ.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главы администрации Новгородской области утвержден «Порядок и усл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 проведения аукционов на право пользования участками недр местного значения на территории Новгородской области», согласно которому 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участков недр на аукцион производится Департаментом природных ресурсов и экологии Новгородской 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 (далее по тексту - «Депа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тамент») и по его инициативе.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К. зная о том, что природный песок и песчано-гравийная смесь (далее по тексту - «ПГС») являются государственной собственностью и вопросы владения, польз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и распор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данными недрами находятся в совместном ведении РФ и субъектов РФ, о том, что предоставление природного песка и ПГС в пользование органами госуда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власти субъектов РФ оформляется спец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альным государственным разрешением в виде лицензии на право пользования недрами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осуществляется Департ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ментом по результатам проведения аукциона, действуя в целях осуществления предпр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нимательской деятельности в сфере реализации природного песка и ПГС на строительство скоростной автом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бильной трассы в Новгородской области, решил получить лицензию на право разр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ботки песчаного карьера, выгодного по месторасположению к данной трассе, для чего обратился к консультанту управления недропользования и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геоинформации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тамента гражданину А., замещающему должность государственной гражда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службы,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просьбой об оказании помощи в получении за денежное вознаграждение лицензии на 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пользования недрами с целью последующей коммерческой выг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ды.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А. действуя умышленно, из корыстной заинтересованности и вопреки интересам службы, с целью наживы и незаконного обогащения, решил получить от гра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данина К. взятку в крупном размере в виде денег в сумме 1 000 000 (один миллион) рублей за совершение им как должностным лицом законных действий, связанных с участием в 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боте аукционной комиссии, а именно создать за 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нежное вознаграждение необходимые условия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организации гражданину К. лицензии на право пользования недр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ми. Гражданин А. определил условия перед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чи денег частями.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К.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реализуя умысел на дачу взятки должностному лицу через п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средника передал первую часть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требуемой суммы взятки, в размере 400 000 (четыреста тысяч) рублей за ок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зание содействия в допуске организации гражданина К. к участию в аукционе и выигрыше на нем.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Оставшаяся сумма взятки - 600 000 (шестьсот тысяч) рублей, согласно договоренн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должна была быть передана до выдачи подконтрольной организации лицензии на 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пользов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недрами.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аукционной комиссией, в которой принял участие гражданин А., поданная заявка от имени гражданина К. была принята к 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смотрению на соответствие требованиям документации (условиям) аукциона, гражданин К. признан участником аукциона.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Проводилось три заседания аукционной комиссии, после проведения третьего зас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 комиссии было установлено, что имеется один претендент гражданин К., которому выдали лице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зию на добычу природных ресурсов.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оставшихся денежных средств от гражданина К. гражданину А. через п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средника, их действия были пресечены сотрудниками полиции.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октября 2017 года суд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признал гражданина К. виновным в даче взятки должнос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лицу назначил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 наказание.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марта 2018 года Новгородский районный суд приговорил бывшего государстве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гражданского служащего Департамента гражданина А. за взяточничество.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Приговор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Республики Северная Осетия – Ал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14 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густа 2017 г. № 1-59/2017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Гражданка Д. совершила служебный подлог, то есть внесение муниципальным сл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жащим, не являющимся должностным лицом, в официальные документы зав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 ложных сведений, совершенное из личной заинтересованности, повлекшее существенное наруш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прав и законных интересов граждан и охраняемых зак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интересов государства.</w:t>
      </w:r>
      <w:proofErr w:type="gramEnd"/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Распоряжением главы района гражданка Д. принята на работу в сельское п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селение на должность специалиста.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 государственной регистрации прав на недвижимое имущество и сделок с ним» предусмотрен упрощенный порядок госуда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регистрации прав на недвижимое имущество, согласно которому выдаваемая 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ганом местного самоуправления выписка из похозяйственней книги о наличии у гражд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нина права на земельный уч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сток (в случае, если этот земельный участок предоставлен для ведения личного подсобного хозяйства) является основанием для государственной рег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собственности гражданина на земел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участок.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гражданке Д. обратился её знакомый гражданин П.  с просьбой выдать ему выпи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 из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для оформления права собственности на 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мельный участок, каких-либо записей в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книге о том, что у гражд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нина П. есть земельный участок, не было.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Осведомленная об упрощенном порядке государственной регистрации прав на 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движимое имущество, и зная о том, что в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книге  отсутствуют 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писи о принадлежности гражданину П. указанного земельного участка, гражданка Д., из иной личной заинтересованности выразившейся в желании помочь, решила выдать ему выписку из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с заведомо ложными сведениями не соответствующими де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ствительности, она  внесла в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похозяйственную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книгу сел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запись в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графу список членов хозяйства, изготовила официальный документ «Выписку из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о наличии у гражданина права на земельный уч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сток» куда внесла сведения о том, что гражданину П. принадлежит на праве постоянного бессрочного пользования 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мельный участок, в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книге сделала запись.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внесения заведомо ложных сведений несоответствующих действител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в указанную выписку, гражданка Д. занесла её главе сельского поселения, и, введя его в 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блуждение, сказала, что в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книге сельского поселения имеется запись на гражданина П., после чего глава сельского поселения подписал указанную выписку, а та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проставил гербовую печать. На основании вышеуказанной подложной выписки из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хозяйственной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в управлении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произведена государственная регистрации права на земельный участок, с кадастровой стоимостью 454 302 рубля, что повлекло сущ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ственное нарушение прав и 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конных интересов граждан и охраняемых законом интересов государства, выразившееся в сфере земельных правоо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ношений.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Аналогичные действия гражданка Д. осуществила по обращению к ней ее зн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комой гра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данки Г. На основании подложной выписки из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в управлении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произведена государственная регистрации права на земельный участок с к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стоимостью 246 792 рубля, что повлекло существенное нарушение прав и 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конных интересов граждан и охраняемых законом интересов государства, выразившееся в сфере земельных правоотношений.</w:t>
      </w:r>
      <w:proofErr w:type="gramEnd"/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гражданка Д. внесла заведомо ложные сведения в отношении 5 лиц. В упра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лении </w:t>
      </w:r>
      <w:proofErr w:type="spell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произведены государственные регистрации прав на земел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участки, с общей к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стоимостью 2 096 908 рублей.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признал гражданку Д. виновной в совершении преступлений, предусмо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ренных ч. 2 ст. 292 УК РФ.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Заключение срочного служебного контракта с гражданским служащим, дости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 предельного возраста пребывания на государственной гражданской слу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бе, является правом предст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вителя нанимателя, а не его обязанностью: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Центрального районного суда г. Хабаровска от 7 февраля 2018 г. № 2-1500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Л. обратился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 с иском к Территориальному органу Федеральной службы по надзору в сфере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 по Хабаровскому краю о призн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приказа об увольнении незаконным, восстановлении на работе, взыскании 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нежного содержания за время вынужденного прогула.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истцом и ответчиком был заключен срочный служебный контракт о прохо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дении государственной гражданской службы, в должности заместителя службы по надзору в сфере здр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воохранения по Хабаровскому краю.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Срочный служебный контракт был заключен на определенный срок, по истечении срока служебного контракта гражданин Л. был уволен, с формулировкой «и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срока срочного служебного контракта».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 государственной гражданской службе Российской Федерации» (далее – Федеральный закон) срочный служебный контракт на срок от одного года до пяти лет заключается, если иной срок не установлен настоящим Федеральным законом, должность гражданской службы в поря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ке ротации гражданских служащих замещается на срок от трех до пяти лет. Гражданин Л. полагает, что условия трудового договора фактически противоречат де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ствующему закону, поскольку срочный контракт заключен сроком на один год. По мнению истца, работодателем был нарушен 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установленный соответствующими законными актами порядок проведения ротации фед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ральных государственных гражданских служащих, а также были нарушены сроки. Гра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данин Л. не был предупрежден об истечении срока действия служебного ко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тракта за три месяца.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увольнении истца ответчик действовал на основании срочного служебного ко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тракта и Федерального закона, в соответствии с которым одним из общих оснований 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кращения служебного контракта, освобождения от замещаемой дол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гражданской службы и увольнения с гражданской службы является истечение срока действия срочного служебного контракта. На м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 приема гражданина Л. предельный возраст пребывания на гражданской службе составлял 60 лет.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Срочный служебный контракт заключается в случаях, когда отношения, св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занные с гражданской службой, не могут быть установлены на неопределенный срок с учетом кат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гории замещаемой должности гражданской службы или условий прохождения гражда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службы. 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предельный возраст пребывания на гра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данской службе - 60 лет.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Гражданскому служащему, достигшему предельного возраста пребывания на гражданской службе, срок гражданской службы с его согл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может быть продлен по решению представителя нанимателя, но не свыше чем до достижения им во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раста 65 лет, а гражданскому служащему, замещающему должность гражданской службы категории «помощники (советники)», учрежденную для содействия лицу, замещающему государственную должность, - до окончания срока полномочий указанного лица.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ральному гражданскому служащему, достигшему предельного возраста пребывания на гражданской службе, замещающему должность гражданской службы категории «руков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дители» высшей группы должностей гражданской службы, срок гра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данской службы с его согласия может быть продлен по решению Президента Российской Федерации, но не св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ше чем до достижения им возраста 70 лет. По достижении гражданским служащим пр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дельного возраста пребывания на гражданской службе по решению представителя наним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и с согласия гражданина он может продолжить работу в государственном органе на условиях срочного трудового договора на должности, не являющейся должностью гра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данской службы.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на работу возраст гражданина Л. составлял 57 лет 8 месяцев, а 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гласие на срок служебного контракта от 3 до 5 лет работник не давал, в связи с чем, истец согл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сился с указа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сроком (один год), подписав данный контракт. Каких-либо возражений 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поводу срока действия служебного контракта истец не заявлял, приступив к исполн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своих должностных об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занностей.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Гражданин, давая согласие на заключение служебного контракта на определенный срок в установленных законодательством случаях, знает о его прекращении по истечении заранее оговоренного временного периода и соглашается на прохо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государственной гражданской службы на оговоренных в служебном контракте условиях. При этом истеч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срока действия срочн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служебного контракта, в том числе достижение предельного возраста пребывания на гражданской службе, является объективным событием, наступл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которого не зависит от воли представителя нанимателя, а потому увольнение госуда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гражданского служащего по данному основанию отнесено к общим основаниям прекращения служебного контракта.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срочного служебного контракта либо продление служебного ко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тракта с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гражданским служащим, достигшим предельного возраста пребывания на государстве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гражда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службе является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правом, а не обязанностью.</w:t>
      </w:r>
    </w:p>
    <w:p w:rsidR="002D779E" w:rsidRPr="002F7201" w:rsidRDefault="002D779E" w:rsidP="002D7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отказал гражданину Л. в полном объеме.</w:t>
      </w:r>
    </w:p>
    <w:p w:rsidR="00266182" w:rsidRPr="002F7201" w:rsidRDefault="00266182" w:rsidP="00266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134" w:rsidRPr="002F7201" w:rsidRDefault="00CF5134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134" w:rsidRPr="002F7201" w:rsidRDefault="00CF5134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134" w:rsidRPr="002F7201" w:rsidRDefault="00CF5134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DFF" w:rsidRPr="002F7201" w:rsidRDefault="007F0F22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201">
        <w:rPr>
          <w:rFonts w:ascii="Times New Roman" w:hAnsi="Times New Roman" w:cs="Times New Roman"/>
          <w:sz w:val="26"/>
          <w:szCs w:val="26"/>
        </w:rPr>
        <w:t>Н</w:t>
      </w:r>
      <w:r w:rsidR="002F7201">
        <w:rPr>
          <w:rFonts w:ascii="Times New Roman" w:hAnsi="Times New Roman" w:cs="Times New Roman"/>
          <w:sz w:val="26"/>
          <w:szCs w:val="26"/>
        </w:rPr>
        <w:t>ачальник юридического </w:t>
      </w:r>
      <w:r w:rsidR="00033DFF" w:rsidRPr="002F7201">
        <w:rPr>
          <w:rFonts w:ascii="Times New Roman" w:hAnsi="Times New Roman" w:cs="Times New Roman"/>
          <w:sz w:val="26"/>
          <w:szCs w:val="26"/>
        </w:rPr>
        <w:t xml:space="preserve">отдела                                     </w:t>
      </w:r>
      <w:r w:rsidR="009405AA" w:rsidRPr="002F720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F7201">
        <w:rPr>
          <w:rFonts w:ascii="Times New Roman" w:hAnsi="Times New Roman" w:cs="Times New Roman"/>
          <w:sz w:val="26"/>
          <w:szCs w:val="26"/>
        </w:rPr>
        <w:t xml:space="preserve">      </w:t>
      </w:r>
      <w:r w:rsidR="00CF5134" w:rsidRPr="002F7201">
        <w:rPr>
          <w:rFonts w:ascii="Times New Roman" w:hAnsi="Times New Roman" w:cs="Times New Roman"/>
          <w:sz w:val="26"/>
          <w:szCs w:val="26"/>
        </w:rPr>
        <w:t xml:space="preserve"> </w:t>
      </w:r>
      <w:r w:rsidR="00330014">
        <w:rPr>
          <w:rFonts w:ascii="Times New Roman" w:hAnsi="Times New Roman" w:cs="Times New Roman"/>
          <w:sz w:val="26"/>
          <w:szCs w:val="26"/>
        </w:rPr>
        <w:t xml:space="preserve">          А.Н. Белогуб</w:t>
      </w:r>
      <w:r w:rsidR="00CF5134" w:rsidRPr="002F72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F7201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033DFF" w:rsidRPr="002F7201" w:rsidSect="00CF5134">
      <w:head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0D" w:rsidRDefault="00691D0D" w:rsidP="009405AA">
      <w:pPr>
        <w:spacing w:after="0" w:line="240" w:lineRule="auto"/>
      </w:pPr>
      <w:r>
        <w:separator/>
      </w:r>
    </w:p>
  </w:endnote>
  <w:endnote w:type="continuationSeparator" w:id="0">
    <w:p w:rsidR="00691D0D" w:rsidRDefault="00691D0D" w:rsidP="009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0D" w:rsidRDefault="00691D0D" w:rsidP="009405AA">
      <w:pPr>
        <w:spacing w:after="0" w:line="240" w:lineRule="auto"/>
      </w:pPr>
      <w:r>
        <w:separator/>
      </w:r>
    </w:p>
  </w:footnote>
  <w:footnote w:type="continuationSeparator" w:id="0">
    <w:p w:rsidR="00691D0D" w:rsidRDefault="00691D0D" w:rsidP="009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402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91D0D" w:rsidRPr="0059388A" w:rsidRDefault="00691D0D">
        <w:pPr>
          <w:pStyle w:val="a8"/>
          <w:jc w:val="center"/>
          <w:rPr>
            <w:sz w:val="16"/>
            <w:szCs w:val="16"/>
          </w:rPr>
        </w:pPr>
        <w:r w:rsidRPr="0059388A">
          <w:rPr>
            <w:sz w:val="16"/>
            <w:szCs w:val="16"/>
          </w:rPr>
          <w:fldChar w:fldCharType="begin"/>
        </w:r>
        <w:r w:rsidRPr="0059388A">
          <w:rPr>
            <w:sz w:val="16"/>
            <w:szCs w:val="16"/>
          </w:rPr>
          <w:instrText>PAGE   \* MERGEFORMAT</w:instrText>
        </w:r>
        <w:r w:rsidRPr="0059388A">
          <w:rPr>
            <w:sz w:val="16"/>
            <w:szCs w:val="16"/>
          </w:rPr>
          <w:fldChar w:fldCharType="separate"/>
        </w:r>
        <w:r w:rsidR="00645131">
          <w:rPr>
            <w:noProof/>
            <w:sz w:val="16"/>
            <w:szCs w:val="16"/>
          </w:rPr>
          <w:t>1</w:t>
        </w:r>
        <w:r w:rsidRPr="0059388A">
          <w:rPr>
            <w:sz w:val="16"/>
            <w:szCs w:val="16"/>
          </w:rPr>
          <w:fldChar w:fldCharType="end"/>
        </w:r>
      </w:p>
    </w:sdtContent>
  </w:sdt>
  <w:p w:rsidR="00691D0D" w:rsidRDefault="00691D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E"/>
    <w:rsid w:val="00033DFF"/>
    <w:rsid w:val="000E57FE"/>
    <w:rsid w:val="0010064B"/>
    <w:rsid w:val="0020310F"/>
    <w:rsid w:val="00266182"/>
    <w:rsid w:val="00266979"/>
    <w:rsid w:val="002D779E"/>
    <w:rsid w:val="002F7201"/>
    <w:rsid w:val="00301076"/>
    <w:rsid w:val="00317DEC"/>
    <w:rsid w:val="00325CB1"/>
    <w:rsid w:val="00330014"/>
    <w:rsid w:val="00393D5C"/>
    <w:rsid w:val="003B0582"/>
    <w:rsid w:val="00581B5B"/>
    <w:rsid w:val="0059388A"/>
    <w:rsid w:val="005947FF"/>
    <w:rsid w:val="00605709"/>
    <w:rsid w:val="00612C10"/>
    <w:rsid w:val="00645131"/>
    <w:rsid w:val="00645C75"/>
    <w:rsid w:val="00691D0D"/>
    <w:rsid w:val="006D3B44"/>
    <w:rsid w:val="007F0F22"/>
    <w:rsid w:val="0081211F"/>
    <w:rsid w:val="0088541B"/>
    <w:rsid w:val="008D73FC"/>
    <w:rsid w:val="00920256"/>
    <w:rsid w:val="009405AA"/>
    <w:rsid w:val="009C041E"/>
    <w:rsid w:val="00A2161F"/>
    <w:rsid w:val="00AD4782"/>
    <w:rsid w:val="00B361A5"/>
    <w:rsid w:val="00B663FE"/>
    <w:rsid w:val="00B94EB2"/>
    <w:rsid w:val="00BB3EE3"/>
    <w:rsid w:val="00BE7428"/>
    <w:rsid w:val="00CF5134"/>
    <w:rsid w:val="00D07177"/>
    <w:rsid w:val="00D16CFB"/>
    <w:rsid w:val="00D33596"/>
    <w:rsid w:val="00D7588C"/>
    <w:rsid w:val="00DB0D4A"/>
    <w:rsid w:val="00E050C5"/>
    <w:rsid w:val="00E300FD"/>
    <w:rsid w:val="00E44EE7"/>
    <w:rsid w:val="00E66C56"/>
    <w:rsid w:val="00E75287"/>
    <w:rsid w:val="00EB4208"/>
    <w:rsid w:val="00ED7B1F"/>
    <w:rsid w:val="00F35F2A"/>
    <w:rsid w:val="00F664E3"/>
    <w:rsid w:val="00F854BD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</w:style>
  <w:style w:type="paragraph" w:styleId="1">
    <w:name w:val="heading 1"/>
    <w:basedOn w:val="a"/>
    <w:link w:val="10"/>
    <w:uiPriority w:val="9"/>
    <w:qFormat/>
    <w:rsid w:val="0094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47FF"/>
  </w:style>
  <w:style w:type="paragraph" w:styleId="a4">
    <w:name w:val="List Paragraph"/>
    <w:basedOn w:val="a"/>
    <w:uiPriority w:val="34"/>
    <w:qFormat/>
    <w:rsid w:val="005947FF"/>
    <w:pPr>
      <w:ind w:left="720"/>
      <w:contextualSpacing/>
    </w:pPr>
  </w:style>
  <w:style w:type="paragraph" w:customStyle="1" w:styleId="ConsPlusNormal">
    <w:name w:val="ConsPlusNormal"/>
    <w:rsid w:val="00594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nippetequal">
    <w:name w:val="snippet_equal"/>
    <w:basedOn w:val="a0"/>
    <w:rsid w:val="005947FF"/>
  </w:style>
  <w:style w:type="character" w:customStyle="1" w:styleId="10">
    <w:name w:val="Заголовок 1 Знак"/>
    <w:basedOn w:val="a0"/>
    <w:link w:val="1"/>
    <w:uiPriority w:val="9"/>
    <w:rsid w:val="00940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05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05A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05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88A"/>
  </w:style>
  <w:style w:type="paragraph" w:styleId="aa">
    <w:name w:val="footer"/>
    <w:basedOn w:val="a"/>
    <w:link w:val="ab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88A"/>
  </w:style>
  <w:style w:type="paragraph" w:styleId="ac">
    <w:name w:val="Balloon Text"/>
    <w:basedOn w:val="a"/>
    <w:link w:val="ad"/>
    <w:uiPriority w:val="99"/>
    <w:semiHidden/>
    <w:unhideWhenUsed/>
    <w:rsid w:val="00D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</w:style>
  <w:style w:type="paragraph" w:styleId="1">
    <w:name w:val="heading 1"/>
    <w:basedOn w:val="a"/>
    <w:link w:val="10"/>
    <w:uiPriority w:val="9"/>
    <w:qFormat/>
    <w:rsid w:val="0094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47FF"/>
  </w:style>
  <w:style w:type="paragraph" w:styleId="a4">
    <w:name w:val="List Paragraph"/>
    <w:basedOn w:val="a"/>
    <w:uiPriority w:val="34"/>
    <w:qFormat/>
    <w:rsid w:val="005947FF"/>
    <w:pPr>
      <w:ind w:left="720"/>
      <w:contextualSpacing/>
    </w:pPr>
  </w:style>
  <w:style w:type="paragraph" w:customStyle="1" w:styleId="ConsPlusNormal">
    <w:name w:val="ConsPlusNormal"/>
    <w:rsid w:val="00594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nippetequal">
    <w:name w:val="snippet_equal"/>
    <w:basedOn w:val="a0"/>
    <w:rsid w:val="005947FF"/>
  </w:style>
  <w:style w:type="character" w:customStyle="1" w:styleId="10">
    <w:name w:val="Заголовок 1 Знак"/>
    <w:basedOn w:val="a0"/>
    <w:link w:val="1"/>
    <w:uiPriority w:val="9"/>
    <w:rsid w:val="00940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05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05A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05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88A"/>
  </w:style>
  <w:style w:type="paragraph" w:styleId="aa">
    <w:name w:val="footer"/>
    <w:basedOn w:val="a"/>
    <w:link w:val="ab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88A"/>
  </w:style>
  <w:style w:type="paragraph" w:styleId="ac">
    <w:name w:val="Balloon Text"/>
    <w:basedOn w:val="a"/>
    <w:link w:val="ad"/>
    <w:uiPriority w:val="99"/>
    <w:semiHidden/>
    <w:unhideWhenUsed/>
    <w:rsid w:val="00D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o_mo_shpk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1A40-E31F-436A-AD80-D50FB971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4</cp:revision>
  <cp:lastPrinted>2018-05-21T22:54:00Z</cp:lastPrinted>
  <dcterms:created xsi:type="dcterms:W3CDTF">2018-05-21T06:37:00Z</dcterms:created>
  <dcterms:modified xsi:type="dcterms:W3CDTF">2018-05-21T22:55:00Z</dcterms:modified>
</cp:coreProperties>
</file>