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15" w:type="dxa"/>
        <w:jc w:val="left"/>
        <w:tblInd w:w="2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7875"/>
      </w:tblGrid>
      <w:tr>
        <w:trPr>
          <w:trHeight w:val="1373" w:hRule="atLeast"/>
        </w:trPr>
        <w:tc>
          <w:tcPr>
            <w:tcW w:w="203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both"/>
              <w:rPr/>
            </w:pPr>
            <w:r>
              <w:rPr/>
              <w:drawing>
                <wp:anchor behindDoc="0" distT="0" distB="127000" distL="114935" distR="114935" simplePos="0" locked="0" layoutInCell="1" allowOverlap="1" relativeHeight="2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76835</wp:posOffset>
                  </wp:positionV>
                  <wp:extent cx="780415" cy="795020"/>
                  <wp:effectExtent l="0" t="0" r="0" b="0"/>
                  <wp:wrapNone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5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b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Государственное учреждение - Управление Пенсионного фонда Российской Федерации по  Чугуевскому району Приморскому краю</w:t>
            </w:r>
          </w:p>
          <w:p>
            <w:pPr>
              <w:pStyle w:val="Normal"/>
              <w:spacing w:lineRule="auto" w:line="276" w:before="0" w:after="0"/>
              <w:ind w:left="0" w:right="0" w:firstLine="709"/>
              <w:contextualSpacing/>
              <w:jc w:val="center"/>
              <w:rPr/>
            </w:pPr>
            <w:r>
              <w:rPr>
                <w:rStyle w:val="Style11"/>
                <w:rFonts w:cs="Calibri"/>
                <w:b/>
                <w:bCs/>
                <w:sz w:val="22"/>
                <w:szCs w:val="22"/>
                <w:lang w:val="en-US"/>
              </w:rPr>
              <w:t>Справочный телефон  (42372) 21-9-76         e-mail: 390101</w:t>
            </w:r>
            <w:hyperlink r:id="rId3">
              <w:r>
                <w:rPr>
                  <w:rStyle w:val="Style11"/>
                  <w:rFonts w:cs="Calibri"/>
                  <w:b/>
                  <w:bCs/>
                  <w:sz w:val="22"/>
                  <w:szCs w:val="22"/>
                  <w:lang w:val="en-US"/>
                </w:rPr>
                <w:t>@035.</w:t>
              </w:r>
            </w:hyperlink>
            <w:hyperlink r:id="rId4">
              <w:r>
                <w:rPr>
                  <w:rStyle w:val="Style11"/>
                  <w:rFonts w:cs="Calibri"/>
                  <w:b/>
                  <w:bCs/>
                  <w:sz w:val="22"/>
                  <w:szCs w:val="22"/>
                  <w:lang w:val="en-US"/>
                </w:rPr>
                <w:t>pfr</w:t>
              </w:r>
            </w:hyperlink>
            <w:hyperlink r:id="rId5">
              <w:r>
                <w:rPr>
                  <w:rStyle w:val="Style11"/>
                  <w:rFonts w:cs="Calibri"/>
                  <w:b/>
                  <w:bCs/>
                  <w:sz w:val="22"/>
                  <w:szCs w:val="22"/>
                  <w:lang w:val="en-US"/>
                </w:rPr>
                <w:t>.</w:t>
              </w:r>
            </w:hyperlink>
            <w:hyperlink r:id="rId6">
              <w:r>
                <w:rPr>
                  <w:rStyle w:val="Style11"/>
                  <w:rFonts w:cs="Calibri"/>
                  <w:b/>
                  <w:bCs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>
      <w:pPr>
        <w:pStyle w:val="Normal"/>
        <w:spacing w:lineRule="auto" w:line="240"/>
        <w:ind w:firstLine="708"/>
        <w:jc w:val="left"/>
        <w:rPr>
          <w:rFonts w:ascii="Times New Roman" w:hAnsi="Times New Roman"/>
          <w:sz w:val="30"/>
          <w:szCs w:val="30"/>
        </w:rPr>
      </w:pPr>
      <w:r>
        <w:rPr>
          <w:rFonts w:eastAsia="Calibri" w:ascii="Times New Roman" w:hAnsi="Times New Roman"/>
          <w:b/>
          <w:sz w:val="30"/>
          <w:szCs w:val="30"/>
          <w:lang w:eastAsia="en-US"/>
        </w:rPr>
        <w:t>Справка о социальной доплате к пенсии</w:t>
      </w:r>
    </w:p>
    <w:p>
      <w:pPr>
        <w:pStyle w:val="Normal"/>
        <w:spacing w:lineRule="auto" w:line="240"/>
        <w:ind w:firstLine="708"/>
        <w:jc w:val="left"/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b/>
          <w:sz w:val="22"/>
          <w:szCs w:val="22"/>
          <w:lang w:eastAsia="en-US"/>
        </w:rPr>
        <w:t>13.05.2019, с. Чугуевка</w:t>
      </w:r>
    </w:p>
    <w:p>
      <w:pPr>
        <w:pStyle w:val="Normal"/>
        <w:spacing w:lineRule="auto" w:line="28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В целях реализации послания Президента Российской Федерации    В.В. Путина к Федеральному Собранию Российской Федерации от 20 февраля 2019 года принят Федеральный закон от 1 апреля 2019 г. № 49-ФЗ «О внесении изменений в статью 12.1 Федерального закона «О государственной социальной помощи» и статью 4 Федерального закона «О прожиточном минимуме в Российской Федерации». </w:t>
      </w:r>
    </w:p>
    <w:p>
      <w:pPr>
        <w:pStyle w:val="Normal"/>
        <w:spacing w:lineRule="auto" w:line="28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Установленный Федеральным законом № 49-ФЗ новый механизм исчисления размера социальной доплаты к пенсии предусматривает: сначала определяется размер социальной доплаты к пенсии исходя из размеров пенсии и ежемесячной денежной выплаты (ЕДВ)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 w:ascii="Times New Roman" w:hAnsi="Times New Roman"/>
          <w:sz w:val="24"/>
          <w:szCs w:val="24"/>
          <w:lang w:eastAsia="en-US"/>
        </w:rPr>
        <w:t>без учета индексации пенсий и ЕДВ, затем  установленный размер социальной доплаты к пенсии суммируется с пенсией и ЕДВ с учетом индексации текущего года.</w:t>
      </w:r>
    </w:p>
    <w:p>
      <w:pPr>
        <w:pStyle w:val="Normal"/>
        <w:spacing w:lineRule="auto" w:line="28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Таким образом, суммы индексаций текущего года будут выплачиваться сверх установленной в субъекте Российской Федерации величины прожиточного минимума пенсионера (ПМП).</w:t>
      </w:r>
    </w:p>
    <w:p>
      <w:pPr>
        <w:pStyle w:val="Normal"/>
        <w:spacing w:lineRule="auto" w:line="28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Причитающиеся неработающим пенсионерам суммы выплат подлежат перерасчету с                   1 января 2019 года и будут выплачены в мае текущего года.</w:t>
      </w:r>
    </w:p>
    <w:p>
      <w:pPr>
        <w:pStyle w:val="Normal"/>
        <w:spacing w:lineRule="auto" w:line="28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Новый механизм подсчета общей суммы материального обеспечения неработающего пенсионера (ОМО)</w:t>
      </w:r>
    </w:p>
    <w:p>
      <w:pPr>
        <w:pStyle w:val="Normal"/>
        <w:spacing w:lineRule="auto" w:line="3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5039360" cy="2101215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0" t="0" r="0" b="26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«Размер социальной доплаты к пенсии не подлежит пересмотру в связи с индексацией (корректировкой) размеров пенсии и ЕДВ»</w:t>
      </w:r>
    </w:p>
    <w:p>
      <w:pPr>
        <w:pStyle w:val="Normal"/>
        <w:spacing w:lineRule="auto" w:line="300" w:before="0" w:after="2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(пункт 1 статьи 1 Федерального закона от 1 апреля 2019 г. № 49-ФЗ)</w:t>
      </w:r>
    </w:p>
    <w:sectPr>
      <w:type w:val="nextPage"/>
      <w:pgSz w:w="11906" w:h="16838"/>
      <w:pgMar w:left="1159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ea5d67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34758e"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3475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2901@035.pfr.ru" TargetMode="External"/><Relationship Id="rId4" Type="http://schemas.openxmlformats.org/officeDocument/2006/relationships/hyperlink" Target="mailto:2901@035.pfr.ru" TargetMode="External"/><Relationship Id="rId5" Type="http://schemas.openxmlformats.org/officeDocument/2006/relationships/hyperlink" Target="mailto:2901@035.pfr.ru" TargetMode="External"/><Relationship Id="rId6" Type="http://schemas.openxmlformats.org/officeDocument/2006/relationships/hyperlink" Target="mailto:2901@035.pfr.ru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A0DF-57A8-40C3-BD95-30D51E22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Application>LibreOffice/5.0.2.2$Windows_X86_64 LibreOffice_project/37b43f919e4de5eeaca9b9755ed688758a8251fe</Application>
  <Paragraphs>12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2019-05-13T08:05:00Z</dcterms:created>
  <dc:creator>Никитина Людмила Владимировна</dc:creator>
  <dc:language>ru-RU</dc:language>
  <cp:lastPrinted>2019-05-16T14:26:04Z</cp:lastPrinted>
  <dcterms:modified xsi:type="dcterms:W3CDTF">2019-05-20T15:13:59Z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